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c53e" w14:textId="a77c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123262 тысяч тенге, в том числе: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12211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110840 тысяч тенге;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123262 тысяч тенге, в том числе;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Майдакол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Майдакол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Майдакол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Майдакол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№531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Майдакол на 2026 год за счет средств районного бюджета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Дома культуры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