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d0e81e" w14:textId="8d0e81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плана по управлению пастбищами и их использованию по Аральскому району 2025-2029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Аральского районного маслихата от 11 февраля 2025 года № 345.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Законом Республики Казахстан "О местном государственном управлении и самоуправлении в Республике Казахстан" статья- 6 пункт-1 </w:t>
      </w:r>
      <w:r>
        <w:rPr>
          <w:rFonts w:ascii="Times New Roman"/>
          <w:b w:val="false"/>
          <w:i w:val="false"/>
          <w:color w:val="000000"/>
          <w:sz w:val="28"/>
        </w:rPr>
        <w:t>подпункт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, Закон Республики Казахстан "О пастбищах" </w:t>
      </w:r>
      <w:r>
        <w:rPr>
          <w:rFonts w:ascii="Times New Roman"/>
          <w:b w:val="false"/>
          <w:i w:val="false"/>
          <w:color w:val="000000"/>
          <w:sz w:val="28"/>
        </w:rPr>
        <w:t>статья 8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 1) и </w:t>
      </w:r>
      <w:r>
        <w:rPr>
          <w:rFonts w:ascii="Times New Roman"/>
          <w:b w:val="false"/>
          <w:i w:val="false"/>
          <w:color w:val="000000"/>
          <w:sz w:val="28"/>
        </w:rPr>
        <w:t>статья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 - Министра Республики Казахстан - Министра сельского хозяйства Республики Казахстан от 24 апреля 2017 года "Об утверждении Правил рационального использования пастбищ",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29 апреля 2020 года №145 "Об утверждении Типовых правил выпаса сельскохозяйственных животных" и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29 июля 2024 года № 263 "Об утверждении типового плана по управлению пастбищами и их использованию", Аральский районный маслихат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</w:t>
      </w:r>
      <w:r>
        <w:rPr>
          <w:rFonts w:ascii="Times New Roman"/>
          <w:b w:val="false"/>
          <w:i w:val="false"/>
          <w:color w:val="000000"/>
          <w:sz w:val="28"/>
        </w:rPr>
        <w:t>План</w:t>
      </w:r>
      <w:r>
        <w:rPr>
          <w:rFonts w:ascii="Times New Roman"/>
          <w:b w:val="false"/>
          <w:i w:val="false"/>
          <w:color w:val="000000"/>
          <w:sz w:val="28"/>
        </w:rPr>
        <w:t xml:space="preserve"> по управлению пастбищами и их использованию по Аральскому району на 2025-2029 годы согласно приложению к настоящему решению.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 силу </w:t>
      </w:r>
      <w:r>
        <w:rPr>
          <w:rFonts w:ascii="Times New Roman"/>
          <w:b w:val="false"/>
          <w:i w:val="false"/>
          <w:color w:val="000000"/>
          <w:sz w:val="28"/>
        </w:rPr>
        <w:t>решение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Аральского районного маслихата от 26 декабря 2022 года № 358 "Об утверждении плана по управлению пастбищами и их использованию на 2022-2023 годы".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решение вступает в силу по истечении десяти календарных дней после дня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Председатель Аральского районного маслихата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Б.Турахметов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от "11 " февраля 2025 года № 345</w:t>
            </w:r>
          </w:p>
        </w:tc>
      </w:tr>
    </w:tbl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План по управлению пастбищами и их использованию по Аральскому району на 2025 – 2029 годы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Настоящий План по управлению пастбищами и их использованию по Аральскому району на 2024-2028 годы (далее – План) разработан в соответствии с Законом Республики Казахстан "О местном государственном управлении и самоуправлении в Республике Казахстан" статья 6 пункт 1 </w:t>
      </w:r>
      <w:r>
        <w:rPr>
          <w:rFonts w:ascii="Times New Roman"/>
          <w:b w:val="false"/>
          <w:i w:val="false"/>
          <w:color w:val="000000"/>
          <w:sz w:val="28"/>
        </w:rPr>
        <w:t>подпункт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, Закон Республики Казахстан "О пастбищах" </w:t>
      </w:r>
      <w:r>
        <w:rPr>
          <w:rFonts w:ascii="Times New Roman"/>
          <w:b w:val="false"/>
          <w:i w:val="false"/>
          <w:color w:val="000000"/>
          <w:sz w:val="28"/>
        </w:rPr>
        <w:t>статья 8</w:t>
      </w:r>
      <w:r>
        <w:rPr>
          <w:rFonts w:ascii="Times New Roman"/>
          <w:b w:val="false"/>
          <w:i w:val="false"/>
          <w:color w:val="000000"/>
          <w:sz w:val="28"/>
        </w:rPr>
        <w:t xml:space="preserve">, подпункт 1) и </w:t>
      </w:r>
      <w:r>
        <w:rPr>
          <w:rFonts w:ascii="Times New Roman"/>
          <w:b w:val="false"/>
          <w:i w:val="false"/>
          <w:color w:val="000000"/>
          <w:sz w:val="28"/>
        </w:rPr>
        <w:t>статья 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Заместителя Премьер - Министра Республики Казахстан - Министра сельского хозяйства Республики Казахстан от 24 апреля 2017 года "Об утверждении Правил рационального использования пастбищ",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29 апреля 2020 года №145 "Об утверждении Типовых правил выпаса сельскохозяйственных животных" и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29 июля 2024 года № 263 "Об утверждении типового плана по управлению пастбищами и их использованию".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План содержит: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схема (карта) расположения пастбищ на территории административно-территориальной единицы в разрезе категорий земель, согласно приложению 1 к настоящему Плану;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схема (карта) с обозначением рекомендуемых схем пастбищеоборотов, согласно приложению 3 к настоящему Плану;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соблюдение предельно допустимой нормы нагрузки на общую площадь пастбищ согласно </w:t>
      </w:r>
      <w:r>
        <w:rPr>
          <w:rFonts w:ascii="Times New Roman"/>
          <w:b w:val="false"/>
          <w:i w:val="false"/>
          <w:color w:val="000000"/>
          <w:sz w:val="28"/>
        </w:rPr>
        <w:t>приказу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№ 11064);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использование пастбищ с учетом пастбищеоборотов и источников водопользований;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разбивка площадей пастбищ на отдельные выпасные участки;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чередование участков пастбищ по сезонам года в пространстве и во времени (внутри сезона, года);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ежегодное оставление одного из участков пастбищеоборота без выпаса и сельскохозяйственных животных.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При разработке плана по управлению пастбищами и их использованию приняты следующие данные: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земельного баланса региона и информационной системы государственного земельного кадастра;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геоботанического обследования пастбищ;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скотомогильниках (биометрических ямах);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численности поголовья сельскохозяйственных животных, полученные из базы данных идентификации сельскохозяйственных животных, с указанием их владельцев;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 количестве гуртов, отар, табунов, сформированных по видам и половозрастным группам сельскохозяйственных животных;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численности поголовья сельскохозяйственных животных для выпаса на отгонных пастбищах;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данные об особенностях выпаса сельскохозяйственных животных на культурных и аридных пастбищах, землях лесного, водного фондов и особо охраняемых природных территорий;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рекомендуемые схемы пастбище оборотов;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иные данные, представленные государственными органами, физическими и (или) юридическими лицами.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 административно - территориальному делению в Аральском районе 2 поселка (Саксаульск, Жаксыкылыш) и 21 аульных округов (Аралкум, Аманоткел, Акирек, Атанши, Бекбауыл, Беларан, Боген, Жанакурылыс, Жетес би, Жинишкекум, Камыстыбас, Каракум, Каратерен, Косаман, Косжар, Куланды, Мергенсай, Аккум, Райым,Сазды, Сапак) имеются.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Общая площадь территории Аральского района – 5 521 274 гектар, из них пастбищные земли – 1 538 956 гектар.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 категориям земли:</w:t>
      </w:r>
    </w:p>
    <w:bookmarkEnd w:id="27"/>
    <w:bookmarkStart w:name="z93" w:id="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Распределение пастбищ по категориям земель Аральского района, тысяч гектаров</w:t>
      </w:r>
    </w:p>
    <w:bookmarkEnd w:id="2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  <w:gridCol w:w="1230"/>
      </w:tblGrid>
      <w:tr>
        <w:trPr>
          <w:trHeight w:val="30" w:hRule="atLeast"/>
        </w:trPr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94" w:id="2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Наименование сельских округов</w:t>
            </w:r>
          </w:p>
          <w:bookmarkEnd w:id="29"/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Категории земель</w:t>
            </w:r>
          </w:p>
        </w:tc>
        <w:tc>
          <w:tcPr>
            <w:tcW w:w="123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 земель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1"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сельско</w:t>
            </w:r>
          </w:p>
          <w:bookmarkEnd w:id="3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хозяйствен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 назначения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4"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населен</w:t>
            </w:r>
          </w:p>
          <w:bookmarkEnd w:id="3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ных пунктов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06"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промышлен</w:t>
            </w:r>
          </w:p>
          <w:bookmarkEnd w:id="3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ности, транспорта, связи и иного сельскохозяйст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венного назначения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особо охраняемых природных территорий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0"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</w:t>
            </w:r>
          </w:p>
          <w:bookmarkEnd w:id="3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ного фон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3"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вод</w:t>
            </w:r>
          </w:p>
          <w:bookmarkEnd w:id="3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ного фонда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запаса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18" w:id="3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Аральский район</w:t>
            </w:r>
          </w:p>
          <w:bookmarkEnd w:id="35"/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664930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281167,5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16058,2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163148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1074087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1878010,5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153497</w:t>
            </w:r>
          </w:p>
        </w:tc>
        <w:tc>
          <w:tcPr>
            <w:tcW w:w="123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5612374</w:t>
            </w:r>
          </w:p>
        </w:tc>
      </w:tr>
    </w:tbl>
    <w:bookmarkStart w:name="z12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Распределение пастбищ населенного пункта, тысяч гектаров</w:t>
      </w:r>
    </w:p>
    <w:bookmarkEnd w:id="3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3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п/н</w:t>
            </w:r>
          </w:p>
          <w:bookmarkEnd w:id="37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сельского округа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Код классификатора административно-территориальных объектов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Общая площадь пастбищ, тысяч гектаров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Площадь и виды пастбищ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7" w:id="3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8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49" w:id="3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</w:t>
            </w:r>
          </w:p>
          <w:bookmarkEnd w:id="39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Саксаульск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Саксаульск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4701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433257400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Конту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73" w:id="4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</w:t>
            </w:r>
          </w:p>
          <w:bookmarkEnd w:id="40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Жаксыкылыш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Жаксыкылыш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3789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85" w:id="4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</w:t>
            </w:r>
          </w:p>
          <w:bookmarkEnd w:id="41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Аралкум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433234100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Аралкум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433234700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Шомиш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4103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433234400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Мойнак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21" w:id="4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4</w:t>
            </w:r>
          </w:p>
          <w:bookmarkEnd w:id="42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Аманоткел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Аманоткел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4126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433233300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Аккулак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1740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433233400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Акшатау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433233700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69" w:id="4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5</w:t>
            </w:r>
          </w:p>
          <w:bookmarkEnd w:id="43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Акирек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81" w:id="4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6</w:t>
            </w:r>
          </w:p>
          <w:bookmarkEnd w:id="44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Атанши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433232100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Жинишкекум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293" w:id="4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7</w:t>
            </w:r>
          </w:p>
          <w:bookmarkEnd w:id="45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Бекбауыл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433238100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Бекбауыл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433238700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Укилисай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433238500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Кумбазар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1334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29" w:id="4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8</w:t>
            </w:r>
          </w:p>
          <w:bookmarkEnd w:id="46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Беларан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433244100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Куланды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41" w:id="4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9</w:t>
            </w:r>
          </w:p>
          <w:bookmarkEnd w:id="47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7815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433235300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Карашалан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7049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65" w:id="4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10</w:t>
            </w:r>
          </w:p>
          <w:bookmarkEnd w:id="48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Жанакурылыс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433236100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Жанакурылыс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377" w:id="4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11</w:t>
            </w:r>
          </w:p>
          <w:bookmarkEnd w:id="49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Жетес би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433242100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3456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433242500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Ескиуры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01" w:id="5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12</w:t>
            </w:r>
          </w:p>
          <w:bookmarkEnd w:id="50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Жинишкекум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433241100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Токабай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9824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13" w:id="5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13</w:t>
            </w:r>
          </w:p>
          <w:bookmarkEnd w:id="51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Камыстыбас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433239100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Камыстыбас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5158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25" w:id="52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14</w:t>
            </w:r>
          </w:p>
          <w:bookmarkEnd w:id="52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Каракум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13279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433243300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Еримбетжага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6737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49" w:id="53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15</w:t>
            </w:r>
          </w:p>
          <w:bookmarkEnd w:id="53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433245300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Жанаконыс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73" w:id="54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16</w:t>
            </w:r>
          </w:p>
          <w:bookmarkEnd w:id="54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Косаман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433246100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Косаман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6211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433246200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Акеспе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497" w:id="55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17</w:t>
            </w:r>
          </w:p>
          <w:bookmarkEnd w:id="55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Косжар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433248100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Косжар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09" w:id="56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18</w:t>
            </w:r>
          </w:p>
          <w:bookmarkEnd w:id="56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Куланды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433247100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Акбасты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17913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21" w:id="5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19</w:t>
            </w:r>
          </w:p>
          <w:bookmarkEnd w:id="57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Мергенсай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Жаланаш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17808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433249200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Тастубек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21710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45" w:id="58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</w:t>
            </w:r>
          </w:p>
          <w:bookmarkEnd w:id="58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433253100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Шижага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21242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433253300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Куршек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6433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69" w:id="5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</w:t>
            </w:r>
          </w:p>
          <w:bookmarkEnd w:id="59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433255100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Кызылжар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1919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433255600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Шомишкол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6071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593" w:id="6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22</w:t>
            </w:r>
          </w:p>
          <w:bookmarkEnd w:id="60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433256100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Сазды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9573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605" w:id="6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23</w:t>
            </w:r>
          </w:p>
          <w:bookmarkEnd w:id="61"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Сапак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5341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433259100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Коктем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9779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– в редакции решения Аральского районного маслихата Кызылординской области от 12.02.2026 </w:t>
      </w:r>
      <w:r>
        <w:rPr>
          <w:rFonts w:ascii="Times New Roman"/>
          <w:b w:val="false"/>
          <w:i w:val="false"/>
          <w:color w:val="000000"/>
          <w:sz w:val="28"/>
        </w:rPr>
        <w:t>№ 499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8. Аральский район расположен в северо-западной части Кызылординской области. Площадь района относится к зоне полупустынной зоны. Почва умеренная. Эффективное использование пастбища, недопущение его деградации, также зависит от размещения каждого скота в соответствии с хорошо съеденной травой.</w:t>
      </w:r>
    </w:p>
    <w:bookmarkEnd w:id="62"/>
    <w:bookmarkStart w:name="z3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Климат Аральского района слишком континентальный. Средняя температура воздуха в январе -13 – 15°С, в июле 24-35°С. количество осадков около 100 мм. Количество безморозных дней составляет 160 суток, снежный покров тонкий (10 см), он составляет около 80 дней. Годовой набор температур вегетационного периода составляет 3400 °C на севере и 3800 °C на юге. Среднегодовое количество осадков. 150 мм на севере и 105 мм на юге. Около 80% приходится на весенние и осенние месяцы. Атмосфера средняя величина засухи 50 суток. Район относится к очень засушливому агроклиматическому району. Следовательно, гидротермальный коэффициент составляет 0,3, то есть относится к зоне с очень низкой влажностью. На территории района большая часть ветров дует северо-восточнее (22%) и юго-западнее (18%). Северный ветер зимой составляет 24%, а летний-26%. Средняя годовая скорость ветра 4 – 4,5 м/с.</w:t>
      </w:r>
    </w:p>
    <w:bookmarkEnd w:id="63"/>
    <w:bookmarkStart w:name="z3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 Водоснабжение для сельского хозяйства в районе используется из подземных вод.</w:t>
      </w:r>
    </w:p>
    <w:bookmarkEnd w:id="64"/>
    <w:bookmarkStart w:name="z3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 Основной отраслью сельского хозяйства в районе является животноводство.</w:t>
      </w:r>
    </w:p>
    <w:bookmarkEnd w:id="65"/>
    <w:bookmarkStart w:name="z40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 В настоящее время в районе верблюдов 34342 голов, 50991 голов крупного рогатого скота, 76882 голов мелкого рогатого скота, 61952 голов лошади.</w:t>
      </w:r>
    </w:p>
    <w:bookmarkEnd w:id="66"/>
    <w:bookmarkStart w:name="z41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 В районе действует 24 скотомогильника и 24 ветеринарных пунктов.</w:t>
      </w:r>
    </w:p>
    <w:bookmarkEnd w:id="67"/>
    <w:bookmarkStart w:name="z42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Сведения о ветеринарно – санитарных объектах:</w:t>
      </w:r>
    </w:p>
    <w:bookmarkEnd w:id="6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сел, сельского округа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Ветеринар-ные пункты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купания скота</w:t>
            </w:r>
          </w:p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Пункты искуственного осеменения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Скотомогильники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Запланированные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Построенные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Саксаульск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Жаксыкылыш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Аралкум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Аманоткел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Акирек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Атанши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Бекбауыл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Беларан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Боген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Жанакурылыс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Жетес би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Жинишкекум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Камыстыбас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Қарақұм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Каратерен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Косаман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Косжар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Куланды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Мергенсай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Аккум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Райым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Сазды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Сапак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Всего: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</w:t>
            </w:r>
          </w:p>
        </w:tc>
      </w:tr>
    </w:tbl>
    <w:bookmarkStart w:name="z43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 Для определения продуктивности пастбищ использовались данные геоботанических исследований. Средняя урожайность пастбищ на сухую массу составляет 7,0 -8,8 центнер/гектар. Вспомогательные запасы травы и запасы кошения используются в зимний период.</w:t>
      </w:r>
    </w:p>
    <w:bookmarkEnd w:id="69"/>
    <w:bookmarkStart w:name="z44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 Определение пастбищного потенциала, основано на данных о его производительности в период пастбищ. Приблизительно были получены следующие нормы кормов для скота (в среднем для одного скота): крупно рогатый скот - 4 кг, мелко рогатый скот - 2 кг, лошадь и верблюд – 6 кг. Продолжительность пастбищного периода составляет 180-200 дней. Таким образом, можно определить вместительность пастбища, зная пастбищный продукт, необходимость на один день корма для животных, продолжительность пастбищного периода.</w:t>
      </w:r>
    </w:p>
    <w:bookmarkEnd w:id="70"/>
    <w:bookmarkStart w:name="z45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 Особенностей выпаса сельскохозяйственных животных на культурных и аридных пастбищах:</w:t>
      </w:r>
    </w:p>
    <w:bookmarkEnd w:id="71"/>
    <w:bookmarkStart w:name="z46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календарный график о выпасе сельскохозяйственных животных и перегона сезонных маршрутов устанавливающий использование пастбищ, а также продолжительность пастбищеоборота;</w:t>
      </w:r>
    </w:p>
    <w:bookmarkEnd w:id="72"/>
    <w:bookmarkStart w:name="z47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почва зависит от климатического региона, видов сельскохозяйственных животных, а также от пастбищеоборота;</w:t>
      </w:r>
    </w:p>
    <w:bookmarkEnd w:id="73"/>
    <w:bookmarkStart w:name="z48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степной – 170-180 дней;</w:t>
      </w:r>
    </w:p>
    <w:bookmarkEnd w:id="74"/>
    <w:bookmarkStart w:name="z49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пустынной – 160-180 дней;</w:t>
      </w:r>
    </w:p>
    <w:bookmarkEnd w:id="75"/>
    <w:bookmarkStart w:name="z50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Длительность выпаса скота: для крупного рогатого скота молочной породы минимальная, для крупного рогатого скота мясной породы, овец, лошадей, верблюдов максимальная и зависит от глубины и плотности снежного покрова и других факторов.</w:t>
      </w:r>
    </w:p>
    <w:bookmarkEnd w:id="76"/>
    <w:bookmarkStart w:name="z51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Сведений о сервитутах для прогона скота.</w:t>
      </w:r>
    </w:p>
    <w:bookmarkEnd w:id="77"/>
    <w:bookmarkStart w:name="z52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Скотопрогонная трасса по Аральскому району занимает 150 км.</w:t>
      </w:r>
    </w:p>
    <w:bookmarkEnd w:id="78"/>
    <w:bookmarkStart w:name="z53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Примечание: расшифровка аббревиатуры: </w:t>
      </w:r>
    </w:p>
    <w:bookmarkEnd w:id="79"/>
    <w:bookmarkStart w:name="z54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га – гектар; </w:t>
      </w:r>
    </w:p>
    <w:bookmarkEnd w:id="80"/>
    <w:bookmarkStart w:name="z55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 – показатель Цельсия; </w:t>
      </w:r>
    </w:p>
    <w:bookmarkEnd w:id="81"/>
    <w:bookmarkStart w:name="z5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мм – миллиметр; </w:t>
      </w:r>
    </w:p>
    <w:bookmarkEnd w:id="82"/>
    <w:bookmarkStart w:name="z5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кг – килограмм; </w:t>
      </w:r>
    </w:p>
    <w:bookmarkEnd w:id="83"/>
    <w:bookmarkStart w:name="z5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км - километр.</w:t>
      </w:r>
    </w:p>
    <w:bookmarkEnd w:id="8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Аральскому району на 2025-2029 годы</w:t>
            </w:r>
          </w:p>
        </w:tc>
      </w:tr>
    </w:tbl>
    <w:bookmarkStart w:name="z60" w:id="8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расположения пастбищ на территории административно-территориальной единицы в разрезе категорий земель</w:t>
      </w:r>
    </w:p>
    <w:bookmarkEnd w:id="85"/>
    <w:bookmarkStart w:name="z61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86"/>
    <w:p>
      <w:pPr>
        <w:spacing w:after="0"/>
        <w:ind w:left="0"/>
        <w:jc w:val="both"/>
      </w:pPr>
      <w:r>
        <w:drawing>
          <wp:inline distT="0" distB="0" distL="0" distR="0">
            <wp:extent cx="78105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Условные занки:- Сельсккохозяйственные земли- Промышленные земли- Земли лесного запаса- Бесплатный земельный резерв- Границы населенныхпунктовИмяПлощадь (га)Сельскохозяйственные земли664930Промышленные обекты16058,2Земли лесного запаса1074087Запасной земелный резерв1534973</w:t>
      </w:r>
    </w:p>
    <w:bookmarkEnd w:id="8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Аральскому району на 2025-2029 годы</w:t>
            </w:r>
          </w:p>
        </w:tc>
      </w:tr>
    </w:tbl>
    <w:bookmarkStart w:name="z64" w:id="8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рекомендуемых схем пастбищеоборотов</w:t>
      </w:r>
    </w:p>
    <w:bookmarkEnd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решения Аральского районного маслихата Кызылординской области от 12.02.2026 </w:t>
      </w:r>
      <w:r>
        <w:rPr>
          <w:rFonts w:ascii="Times New Roman"/>
          <w:b w:val="false"/>
          <w:i w:val="false"/>
          <w:color w:val="ff0000"/>
          <w:sz w:val="28"/>
        </w:rPr>
        <w:t>№ 499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первого официального опубликования).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</w:p>
    <w:p>
      <w:pPr>
        <w:spacing w:after="0"/>
        <w:ind w:left="0"/>
        <w:jc w:val="both"/>
      </w:pPr>
      <w:r>
        <w:drawing>
          <wp:inline distT="0" distB="0" distL="0" distR="0">
            <wp:extent cx="7810500" cy="438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Пастбища для удовлетворения потребностей населения в выпасе сельскохозяйственных животных в личных подворьях, включая общественные пастбища, согласно утвержденной схеме (карте).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Аральскому району на 2025-2029 годы</w:t>
            </w:r>
          </w:p>
        </w:tc>
      </w:tr>
    </w:tbl>
    <w:bookmarkStart w:name="z68" w:id="8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рекомендуемых схем пастбищеоборотов</w:t>
      </w:r>
    </w:p>
    <w:bookmarkEnd w:id="89"/>
    <w:bookmarkStart w:name="z69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0"/>
    <w:p>
      <w:pPr>
        <w:spacing w:after="0"/>
        <w:ind w:left="0"/>
        <w:jc w:val="both"/>
      </w:pPr>
      <w:r>
        <w:drawing>
          <wp:inline distT="0" distB="0" distL="0" distR="0">
            <wp:extent cx="7810500" cy="8521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52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Аральскому району на 2025-2029 годы</w:t>
            </w:r>
          </w:p>
        </w:tc>
      </w:tr>
    </w:tbl>
    <w:bookmarkStart w:name="z71" w:id="9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сервитутов для прогона сельскохозяйственных животных, скотопрогонных трасс и иных объектов пастбищной инфраструктуры, а также скотомогильников (биометрических ям)</w:t>
      </w:r>
    </w:p>
    <w:bookmarkEnd w:id="91"/>
    <w:bookmarkStart w:name="z7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2"/>
    <w:p>
      <w:pPr>
        <w:spacing w:after="0"/>
        <w:ind w:left="0"/>
        <w:jc w:val="both"/>
      </w:pPr>
      <w:r>
        <w:drawing>
          <wp:inline distT="0" distB="0" distL="0" distR="0">
            <wp:extent cx="7810500" cy="8242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24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Аральскому району на 2025-2029 годы</w:t>
            </w:r>
          </w:p>
        </w:tc>
      </w:tr>
    </w:tbl>
    <w:bookmarkStart w:name="z74" w:id="9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которые могут быть предоставлены в землепользование пастбищепользователям</w:t>
      </w:r>
    </w:p>
    <w:bookmarkEnd w:id="93"/>
    <w:bookmarkStart w:name="z75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4"/>
    <w:p>
      <w:pPr>
        <w:spacing w:after="0"/>
        <w:ind w:left="0"/>
        <w:jc w:val="both"/>
      </w:pPr>
      <w:r>
        <w:drawing>
          <wp:inline distT="0" distB="0" distL="0" distR="0">
            <wp:extent cx="78105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5"/>
    <w:p>
      <w:pPr>
        <w:spacing w:after="0"/>
        <w:ind w:left="0"/>
        <w:jc w:val="both"/>
      </w:pPr>
      <w:r>
        <w:drawing>
          <wp:inline distT="0" distB="0" distL="0" distR="0">
            <wp:extent cx="5892800" cy="119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928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Аральскому району на 2025-2029 годы</w:t>
            </w:r>
          </w:p>
        </w:tc>
      </w:tr>
    </w:tbl>
    <w:bookmarkStart w:name="z78" w:id="9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(карта) с обозначением пастбищ, подлежащих резервированию в целях удовлетворения нужд населения по выпасу сельскохозяйственных животных личного подворья</w:t>
      </w:r>
    </w:p>
    <w:bookmarkEnd w:id="96"/>
    <w:bookmarkStart w:name="z79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7"/>
    <w:p>
      <w:pPr>
        <w:spacing w:after="0"/>
        <w:ind w:left="0"/>
        <w:jc w:val="both"/>
      </w:pPr>
      <w:r>
        <w:drawing>
          <wp:inline distT="0" distB="0" distL="0" distR="0">
            <wp:extent cx="7810500" cy="8432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43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0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98"/>
    <w:p>
      <w:pPr>
        <w:spacing w:after="0"/>
        <w:ind w:left="0"/>
        <w:jc w:val="both"/>
      </w:pPr>
      <w:r>
        <w:drawing>
          <wp:inline distT="0" distB="0" distL="0" distR="0">
            <wp:extent cx="4483100" cy="12192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831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7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Аральскому району на 2025-2029 годы</w:t>
            </w:r>
          </w:p>
        </w:tc>
      </w:tr>
    </w:tbl>
    <w:bookmarkStart w:name="z82" w:id="9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доступа к водоисточникам (озерам, рекам, прудам, копаням, оросительным или обводнительным каналам, трубчатым или шахтным колодцам), составленная согласно норме потребления воды</w:t>
      </w:r>
    </w:p>
    <w:bookmarkEnd w:id="99"/>
    <w:bookmarkStart w:name="z8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0"/>
    <w:p>
      <w:pPr>
        <w:spacing w:after="0"/>
        <w:ind w:left="0"/>
        <w:jc w:val="both"/>
      </w:pPr>
      <w:r>
        <w:drawing>
          <wp:inline distT="0" distB="0" distL="0" distR="0">
            <wp:extent cx="7810500" cy="8140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814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1"/>
    <w:p>
      <w:pPr>
        <w:spacing w:after="0"/>
        <w:ind w:left="0"/>
        <w:jc w:val="both"/>
      </w:pPr>
      <w:r>
        <w:drawing>
          <wp:inline distT="0" distB="0" distL="0" distR="0">
            <wp:extent cx="3441700" cy="11938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441700" cy="11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8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к Плану по управлению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Аральскому району на 2025-2029 годы</w:t>
            </w:r>
          </w:p>
        </w:tc>
      </w:tr>
    </w:tbl>
    <w:bookmarkStart w:name="z86" w:id="10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Схема размещения поголовья сельскохозяйственных животных на отгонных пастбищах</w:t>
      </w:r>
    </w:p>
    <w:bookmarkEnd w:id="102"/>
    <w:bookmarkStart w:name="z87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3"/>
    <w:p>
      <w:pPr>
        <w:spacing w:after="0"/>
        <w:ind w:left="0"/>
        <w:jc w:val="both"/>
      </w:pPr>
      <w:r>
        <w:drawing>
          <wp:inline distT="0" distB="0" distL="0" distR="0">
            <wp:extent cx="7810500" cy="79883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810500" cy="798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8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4"/>
    <w:p>
      <w:pPr>
        <w:spacing w:after="0"/>
        <w:ind w:left="0"/>
        <w:jc w:val="both"/>
      </w:pPr>
      <w:r>
        <w:drawing>
          <wp:inline distT="0" distB="0" distL="0" distR="0">
            <wp:extent cx="3848100" cy="26289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9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Плану по управлению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пастбищами и их использованию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Аральскому району на 2025-2029 годы</w:t>
            </w:r>
          </w:p>
        </w:tc>
      </w:tr>
    </w:tbl>
    <w:bookmarkStart w:name="z90" w:id="10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Проектное распределение (перераспределение) пастбищ между сельскими населенными пунктами, входящими в сельский округ</w:t>
      </w:r>
    </w:p>
    <w:bookmarkEnd w:id="105"/>
    <w:bookmarkStart w:name="z9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6"/>
    <w:p>
      <w:pPr>
        <w:spacing w:after="0"/>
        <w:ind w:left="0"/>
        <w:jc w:val="both"/>
      </w:pPr>
      <w:r>
        <w:drawing>
          <wp:inline distT="0" distB="0" distL="0" distR="0">
            <wp:extent cx="6134100" cy="68326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34100" cy="683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</w:p>
    <w:bookmarkEnd w:id="107"/>
    <w:p>
      <w:pPr>
        <w:spacing w:after="0"/>
        <w:ind w:left="0"/>
        <w:jc w:val="both"/>
      </w:pPr>
      <w:r>
        <w:drawing>
          <wp:inline distT="0" distB="0" distL="0" distR="0">
            <wp:extent cx="4089400" cy="28067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89400" cy="280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media/document_image_rId4.jpeg" Type="http://schemas.openxmlformats.org/officeDocument/2006/relationships/image" Id="rId4"/><Relationship Target="media/document_image_rId5.jpeg" Type="http://schemas.openxmlformats.org/officeDocument/2006/relationships/image" Id="rId5"/><Relationship Target="media/document_image_rId6.jpeg" Type="http://schemas.openxmlformats.org/officeDocument/2006/relationships/image" Id="rId6"/><Relationship Target="media/document_image_rId7.jpeg" Type="http://schemas.openxmlformats.org/officeDocument/2006/relationships/image" Id="rId7"/><Relationship Target="media/document_image_rId8.jpeg" Type="http://schemas.openxmlformats.org/officeDocument/2006/relationships/image" Id="rId8"/><Relationship Target="media/document_image_rId9.jpeg" Type="http://schemas.openxmlformats.org/officeDocument/2006/relationships/image" Id="rId9"/><Relationship Target="media/document_image_rId10.jpeg" Type="http://schemas.openxmlformats.org/officeDocument/2006/relationships/image" Id="rId10"/><Relationship Target="media/document_image_rId11.jpeg" Type="http://schemas.openxmlformats.org/officeDocument/2006/relationships/image" Id="rId11"/><Relationship Target="media/document_image_rId12.jpeg" Type="http://schemas.openxmlformats.org/officeDocument/2006/relationships/image" Id="rId12"/><Relationship Target="media/document_image_rId13.jpeg" Type="http://schemas.openxmlformats.org/officeDocument/2006/relationships/image" Id="rId13"/><Relationship Target="media/document_image_rId14.jpeg" Type="http://schemas.openxmlformats.org/officeDocument/2006/relationships/image" Id="rId14"/><Relationship Target="media/document_image_rId15.jpeg" Type="http://schemas.openxmlformats.org/officeDocument/2006/relationships/image" Id="rId15"/><Relationship Target="media/document_image_rId16.jpeg" Type="http://schemas.openxmlformats.org/officeDocument/2006/relationships/image" Id="rId16"/><Relationship Target="media/document_image_rId17.jpeg" Type="http://schemas.openxmlformats.org/officeDocument/2006/relationships/image" Id="rId17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