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f719" w14:textId="033f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22 августа 2025 года № 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 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за № 28188)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объемы субсидирования повышения продуктивности и качества продукции аквакультуры (рыбоводства)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2025 года № 161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возмещению расходов за приобретение рыбных кормов: карповые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возмещению расходов за приобретение рыбопосадочного материала: молодь карповых и их гибридов (до 30 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возмещению расходов за приобретение рыбопосадочного материала: личинки карповых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возмещению расходов за приобретение рыбоводно 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возмещению расходов за приобретение лекарственных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