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4f5d" w14:textId="2874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услуги</w:t>
      </w:r>
    </w:p>
    <w:p>
      <w:pPr>
        <w:spacing w:after="0"/>
        <w:ind w:left="0"/>
        <w:jc w:val="both"/>
      </w:pPr>
      <w:r>
        <w:rPr>
          <w:rFonts w:ascii="Times New Roman"/>
          <w:b w:val="false"/>
          <w:i w:val="false"/>
          <w:color w:val="000000"/>
          <w:sz w:val="28"/>
        </w:rPr>
        <w:t>Постановление акимата Кызылординской области от 25 июля 2025 года № 150</w:t>
      </w:r>
    </w:p>
    <w:p>
      <w:pPr>
        <w:spacing w:after="0"/>
        <w:ind w:left="0"/>
        <w:jc w:val="both"/>
      </w:pPr>
      <w:bookmarkStart w:name="z4" w:id="0"/>
      <w:r>
        <w:rPr>
          <w:rFonts w:ascii="Times New Roman"/>
          <w:b w:val="false"/>
          <w:i w:val="false"/>
          <w:color w:val="000000"/>
          <w:sz w:val="28"/>
        </w:rPr>
        <w:t>
      В соответствии с совместным приказом Министерства культуры и информации Республики Казахстан от 30 мая 2025 года № 251-НҚ, Министерства туризма и спорта Республики Казахстан от 28 мая 2025 года № 75, Министерства цифрового развития, инноваций и аэрокосмической промышленности Республики Казахстан от 28 мая 2025 года № 266/НҚ и Министерства просвещения Республики Казахстан от 28 мая 2025 года № 125 "О некоторых вопросах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услуги"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1. Определить государственное коммунальное учреждение "Управление образования Кызылординской области" единым администратором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услуги (далее - Пилотный проект).</w:t>
      </w:r>
    </w:p>
    <w:bookmarkEnd w:id="1"/>
    <w:bookmarkStart w:name="z6" w:id="2"/>
    <w:p>
      <w:pPr>
        <w:spacing w:after="0"/>
        <w:ind w:left="0"/>
        <w:jc w:val="both"/>
      </w:pPr>
      <w:r>
        <w:rPr>
          <w:rFonts w:ascii="Times New Roman"/>
          <w:b w:val="false"/>
          <w:i w:val="false"/>
          <w:color w:val="000000"/>
          <w:sz w:val="28"/>
        </w:rPr>
        <w:t>
      2. Объединить государственный заказ на дополнительное образование для детей, государственный творческий заказ и государственный спортивный заказ в единый государственный заказ.</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Сформировать перечень организаций, оказывающих услуги в рамках единого государственного заказа,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Определить объем единого государственного заказа для реализации пилотного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Утвердить базовый норматив, корректирующий коэффициент и предельный размер дохода на душу семьи в рамках единого государственного заказа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Утвердить критерии оснащения (оборудование/помещения) по определенным видам занятий (кружки/секции)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1" w:id="3"/>
    <w:p>
      <w:pPr>
        <w:spacing w:after="0"/>
        <w:ind w:left="0"/>
        <w:jc w:val="both"/>
      </w:pPr>
      <w:r>
        <w:rPr>
          <w:rFonts w:ascii="Times New Roman"/>
          <w:b w:val="false"/>
          <w:i w:val="false"/>
          <w:color w:val="000000"/>
          <w:sz w:val="28"/>
        </w:rPr>
        <w:t>
      7. Государственным коммунальным учреждениям "Управление образования Кызылординской области", "Управление культуры, архивов и документации Кызылординской области", "Управление физической культуры, спорта и туризма Кызылординской области" принять меры, вытекающие из настоящего постановления.</w:t>
      </w:r>
    </w:p>
    <w:bookmarkEnd w:id="3"/>
    <w:bookmarkStart w:name="z12" w:id="4"/>
    <w:p>
      <w:pPr>
        <w:spacing w:after="0"/>
        <w:ind w:left="0"/>
        <w:jc w:val="both"/>
      </w:pPr>
      <w:r>
        <w:rPr>
          <w:rFonts w:ascii="Times New Roman"/>
          <w:b w:val="false"/>
          <w:i w:val="false"/>
          <w:color w:val="000000"/>
          <w:sz w:val="28"/>
        </w:rPr>
        <w:t>
      8. Контроль за исполнением настоящего постановления возложить на курирующего заместителя акима Кызылординской области.</w:t>
      </w:r>
    </w:p>
    <w:bookmarkEnd w:id="4"/>
    <w:bookmarkStart w:name="z13" w:id="5"/>
    <w:p>
      <w:pPr>
        <w:spacing w:after="0"/>
        <w:ind w:left="0"/>
        <w:jc w:val="both"/>
      </w:pPr>
      <w:r>
        <w:rPr>
          <w:rFonts w:ascii="Times New Roman"/>
          <w:b w:val="false"/>
          <w:i w:val="false"/>
          <w:color w:val="000000"/>
          <w:sz w:val="28"/>
        </w:rPr>
        <w:t>
      9. Настоящее постановление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w:t>
            </w:r>
          </w:p>
          <w:p>
            <w:pPr>
              <w:spacing w:after="20"/>
              <w:ind w:left="20"/>
              <w:jc w:val="both"/>
            </w:pPr>
          </w:p>
          <w:p>
            <w:pPr>
              <w:spacing w:after="20"/>
              <w:ind w:left="20"/>
              <w:jc w:val="both"/>
            </w:pPr>
            <w:r>
              <w:rPr>
                <w:rFonts w:ascii="Times New Roman"/>
                <w:b w:val="false"/>
                <w:i/>
                <w:color w:val="000000"/>
                <w:sz w:val="20"/>
              </w:rPr>
              <w:t xml:space="preserve">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"25" июля 2025 года № 150</w:t>
            </w:r>
          </w:p>
        </w:tc>
      </w:tr>
    </w:tbl>
    <w:bookmarkStart w:name="z16" w:id="6"/>
    <w:p>
      <w:pPr>
        <w:spacing w:after="0"/>
        <w:ind w:left="0"/>
        <w:jc w:val="left"/>
      </w:pPr>
      <w:r>
        <w:rPr>
          <w:rFonts w:ascii="Times New Roman"/>
          <w:b/>
          <w:i w:val="false"/>
          <w:color w:val="000000"/>
        </w:rPr>
        <w:t xml:space="preserve"> Перечень организаций, оказывающих услуги в рамках единого государтственного заказа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Дворец (дом) школьников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искусств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технического творчества для детей и юношества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 по направлениям деятельности и интересам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профильный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детско-юношеского творчества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Дошкольный развивающий комплекс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детско–юношеского туризма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Биолого-экологический центр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дворовый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Палаточный, юрточный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спортивного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Детско-юношеская спортивная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 для лиц с инвалидностью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подготовки олимпийского резерва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олимпийской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высшего спортивного мастерства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Детско-юношеский клуб физической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 для лиц с инвалидностью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спортивный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спортивной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спортивной подготовки для лиц с ограниченными возможностями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Фитнес-центр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культурного и творческого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"25" июля 2025 года № 150</w:t>
            </w:r>
          </w:p>
        </w:tc>
      </w:tr>
    </w:tbl>
    <w:bookmarkStart w:name="z18" w:id="7"/>
    <w:p>
      <w:pPr>
        <w:spacing w:after="0"/>
        <w:ind w:left="0"/>
        <w:jc w:val="left"/>
      </w:pPr>
      <w:r>
        <w:rPr>
          <w:rFonts w:ascii="Times New Roman"/>
          <w:b/>
          <w:i w:val="false"/>
          <w:color w:val="000000"/>
        </w:rPr>
        <w:t xml:space="preserve"> Объем единого государственного заказа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средств, направленных в управление образования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творческий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Август-декабрь 2025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 млн.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спортивный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Август-декабрь 2025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млрд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 млрд тг</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"25" июля 2025 года № 150</w:t>
            </w:r>
          </w:p>
        </w:tc>
      </w:tr>
    </w:tbl>
    <w:bookmarkStart w:name="z20" w:id="8"/>
    <w:p>
      <w:pPr>
        <w:spacing w:after="0"/>
        <w:ind w:left="0"/>
        <w:jc w:val="left"/>
      </w:pPr>
      <w:r>
        <w:rPr>
          <w:rFonts w:ascii="Times New Roman"/>
          <w:b/>
          <w:i w:val="false"/>
          <w:color w:val="000000"/>
        </w:rPr>
        <w:t xml:space="preserve"> Базовый норматив и корректирующий коэффициент в рамках единого государственного заказа и предельный размер среднедушевого дохода семьи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Корректирующий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определения корректирующего коэффициента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ЕГЗ, тенге = базовый норматив * корректирующий коэффициент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xml:space="preserve">
15825*2= </w:t>
            </w:r>
          </w:p>
          <w:bookmarkEnd w:id="9"/>
          <w:p>
            <w:pPr>
              <w:spacing w:after="20"/>
              <w:ind w:left="20"/>
              <w:jc w:val="both"/>
            </w:pPr>
            <w:r>
              <w:rPr>
                <w:rFonts w:ascii="Times New Roman"/>
                <w:b w:val="false"/>
                <w:i w:val="false"/>
                <w:color w:val="000000"/>
                <w:sz w:val="20"/>
              </w:rPr>
              <w:t>
31650 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девиантным поведением, состоящие на учете в органах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 которых один из родителей имеет инвалидность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воспитывающих ребенка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оставшиеся без попечения родителей, дети-сироты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получающих адресную социальную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ниже предельного размера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выше предельного размера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(включительно) до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15825*0,5=</w:t>
            </w:r>
          </w:p>
          <w:bookmarkEnd w:id="10"/>
          <w:p>
            <w:pPr>
              <w:spacing w:after="20"/>
              <w:ind w:left="20"/>
              <w:jc w:val="both"/>
            </w:pPr>
            <w:r>
              <w:rPr>
                <w:rFonts w:ascii="Times New Roman"/>
                <w:b w:val="false"/>
                <w:i w:val="false"/>
                <w:color w:val="000000"/>
                <w:sz w:val="20"/>
              </w:rPr>
              <w:t>
7 913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"25" июля 2025 года № 150</w:t>
            </w:r>
          </w:p>
        </w:tc>
      </w:tr>
    </w:tbl>
    <w:bookmarkStart w:name="z24" w:id="11"/>
    <w:p>
      <w:pPr>
        <w:spacing w:after="0"/>
        <w:ind w:left="0"/>
        <w:jc w:val="left"/>
      </w:pPr>
      <w:r>
        <w:rPr>
          <w:rFonts w:ascii="Times New Roman"/>
          <w:b/>
          <w:i w:val="false"/>
          <w:color w:val="000000"/>
        </w:rPr>
        <w:t xml:space="preserve"> Критерии по оснащению (инвентарю) по определенным видам занятий (кружков/секции)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творчества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качества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занятий в месяц (максимальное количество оплачиваемых занятий) на одного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внутренних отчетных мероприятий в год, на одного ребенка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детей для начала занятий,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до 10 лет,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от 10 лет,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инклюзивной или интегрированной группе,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специальной группе, человек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специальных учебных программ для детей с ограниченными возможностями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необходимость оснащения ежедневными расходными</w:t>
            </w:r>
          </w:p>
          <w:bookmarkEnd w:id="12"/>
          <w:p>
            <w:pPr>
              <w:spacing w:after="20"/>
              <w:ind w:left="20"/>
              <w:jc w:val="both"/>
            </w:pPr>
            <w:r>
              <w:rPr>
                <w:rFonts w:ascii="Times New Roman"/>
                <w:b w:val="false"/>
                <w:i w:val="false"/>
                <w:color w:val="000000"/>
                <w:sz w:val="20"/>
              </w:rPr>
              <w:t>
материалами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требования к материально-техническому оснащению</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кружки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балетный линолеум или паркет, индивидуальные коврики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изобразительного искусства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кисти, карандаши, ластики, емкости для жидкостей</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карандаши, ластики, чернила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стенды для фото, компьютеры, цветные принтеры, фотоаппараты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гончарный круг, печь для обжига глины, гончарные инструменты, емкости для жидкостей, фартуки, кисти, инструменты для гравировки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доски и стеки, емкости для жидкостей, фартуки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Кружки декоративно-прикладного творчества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Ткацкий станок, ножницы, гребень, колотушка, нож-крючок, палочка, столы, стулья,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пяльцы, ножницы, швейные машины, столы, стулья, карандаши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устройство для изготовления цветков</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войлока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подложки, наперстки, фильцевальная машинка, пуходерка, ножницы, карандаши, емкости для жидкостей, фартуки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тиски, напильники, мини-дрели (бормашины), сверла, фрезы, плоскогубцы, круглогубцы, ножницы, кусачки, лупы, бинокуляры,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карандаши, кисти, полировальное и шлифовальное оборудование, шлифовальные круги, щетки компьютер, инструменты для гравировки и плавки металла, емкости для жидкостей, фартуки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швейные машины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коврик-мат, ножи для 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маркер для кожи, шило, ножницы, иглы, молоток, стамески, пробойники, тески, емкости для жидкостей, фартуки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краски для батика, кисти, инструменты для холодного и горячего батика, емкости для жидкостей, фартуки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ножницы, ножи, доски, линейки, кисти, карандаши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театра и кино</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 и сценическая речь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ширма, реквизиты, костюмы, зеркала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и предметы в зависимости от вида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Кукловождение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куклы, ширмы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омпьютеры, видеокамеры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современной АРТ-индустрии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лампа, зеркала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стулья, звуковое оборудование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 кройка и шитье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швейные машины, светильники, ножницы, оверлог, утюг, манекен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секаторы, пластмассовые цветы, ножницы, кусачки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Вокальные кружки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звуковое оборудование с микрофонами, фортепиано или другой родственный инструмент, звукопоглощающая ткань на стенах, зеркала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хоровой ансамбль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зеркала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столы, пюпитры, аккомпанирующий инструмент (если требуется), звукопоглощающая ткань на стенах, зеркала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инструментального исполнительства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школьная или маркерная доска, пюпитры, домбра, звукопоглощающая ткань на стенах, зеркала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музейного дела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карты, шпатели, лопаты, ковшовый шнек, совок, поддон, просеиватель, флотационное устройство, кисти, весы, перчатки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ручка pH-измеритель, Станок для шифрования переплетной кожи, Электрическая люминесцентная пленка, Аэрозольный генератор реставрационный, Генератор пара, Реставрационный шпатель, Очиститель реставрационный, Музейный Пылесос, Парогенератор-очиститель с функцией всасывания, Реставрационный лазер, Реставрационный Паровой Карандаш, Реставрационные утюжки, прессы, ванны, сушилки, мольберты, резаки, столярные инструменты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кружки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трибуны</w:t>
            </w:r>
          </w:p>
        </w:tc>
      </w:tr>
    </w:tbl>
    <w:bookmarkStart w:name="z26" w:id="13"/>
    <w:p>
      <w:pPr>
        <w:spacing w:after="0"/>
        <w:ind w:left="0"/>
        <w:jc w:val="left"/>
      </w:pPr>
      <w:r>
        <w:rPr>
          <w:rFonts w:ascii="Times New Roman"/>
          <w:b/>
          <w:i w:val="false"/>
          <w:color w:val="000000"/>
        </w:rPr>
        <w:t xml:space="preserve"> Критерии по оснащению (инвентарю) по определенным видам занятий (спортивных секции)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спорта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спортивному процессу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оплачиваемых занятий в месяц, на одного ребенка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оплачиваемых внутренних отчетных мероприятий в год, на одного ребенка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детей для начала тренировок,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до 10 лет,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от 10 лет,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группе,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специального оснащения для детей с ограниченными возможностями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специальных учебных программ для детей с ограниченными возможностями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оснащения ежедневными расходными материалами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олимпийские виды спорта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Баскетбольная площадка, баскетбольный мяч, свисток. Медицинская шкатулка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Боксерский ринг, Медицинская шкатулка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вольной борьбы, методичка. Манекен для борьбы, гантели, гиревые камни.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борьбы. методический. Манекен для борьбы,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волейбольный мяч, волейбольная сетка .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оборудование для спортивной гимнастики.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оборудование для художественной гимнастики.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Дзюдо, гантели, гиревые камни.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Каратэ, лапы для рук, лапы для ног, резиновый жгут, перчатки WKF approved.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(Дабл йу Ти 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таеквондо, шлем, спортивные барьеры, стартовые подушки, Секундомер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оборудование для легкой атлетики.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спасательный жилет, специальная доска.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Теннисный Корт, ракетки, желтый или белый теннисный мяч, теннисная сетка.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настольного тенниса, ракетки, мяч, сетка.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футбол нужны специальные мячи, мячи, формы. Аптечка первой помощи.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Зимние олимпийские виды спорта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площадка (каток) для круга.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площадка (каток) для фигурного катания.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Лыжный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Лыжная площадка, спортивный костюм, лыжи.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(каток) для хоккея, спортивный костюм, шайба, хоккейная клюшка. Аптечка первой помощи.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виды спорта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одежда для казахской борьбы, ковер для борьбы.. Аптечка первой помощи.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Неолимпийские виды спорта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должен иметь специальный корт, мяч, формы.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для спортивных танцев. Коврики для тренировок.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Шахматные часы. Шахматная доска, Справочная книжка. Аптечка первой помощи.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ограниченными возможностями по зрению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ворота. Мяч с колокольчиком внутри предназначен для инвалидов по зрению.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Дзюдо, кимано для дзюдо, оборудование для инвалидов по зрению.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для легкой атлетики, диски для метания, копье для метания, оборудование для инвалидов по зрению.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спасательный жилет, специальная доска. специальное оборудование оборудование для инвалидов по зрению.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Шахматная доска, оборудование для инвалидов по зрению.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шашечная, оборудование для инвалидов по зрению Аптечка первой помощи.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ограниченными возможностями по слуху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бадминтона, сетка для бадминтона,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Баскетбольная площадка, баскетбольный мяч, сменная или стационарная баскетбольная стойка. Таймер и секундомер (для интервальных тренировок)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вольной борьбы,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Греко-римский ковер,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Волейбольный мяч, сетка, мяч,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Дзюдо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Каратэ,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(Дабл йу Ти 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тхэквондо,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для легкой атлетики, копье для метания,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спасательный жилет, специальная доска,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Теннисный корт, ракетка, мяч,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Теннисный стол, ракетка, мячи,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Футбольные поля, мячи,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Футбольные корт, мячи,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Шахматная доска, оборудование для инвалидов по слуху.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шашечная, оборудование для инвалидов по слуху. Аптечка первой помощи.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поражением опорно-двигательного аппарата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Волейбольный мяч, сетка. Оборудование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Теннисная парта, раоекта,. Оборудование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 круг оборудование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оборудование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спортивных танцев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Волейбольный мяч, сетка, мяч, оборудование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бочча для инвалидов с нарушениями опорно-двигательного аппарата.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футбольное 7х7 для инвалидов с нарушениями опорно-двигательного аппарата. Аптечка первой помощи.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интегрированных групп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плавание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адаптивного плавания для интегрированных групп.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каратэ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адаптивных видов спорта карате для интегрированных групп.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таеквондо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адаптивных видов спорта тхэквондо для интегрированных групп.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для всех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всех видов спорта Бочча для интегрированных групп.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футбол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футбольное спортивное оборудование для интегрированных групп.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баскетбол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адаптивного баскетбола для интегрированных групп.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бадминтон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адаптивного бадминтона для интегрированных групп.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волейбол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адаптивных видов спорта волейбол для групп интеграции. Аптечка первой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теннис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адаптивного тенниса для интегрированных групп. Аптечка первой помощи.</w:t>
            </w:r>
          </w:p>
        </w:tc>
      </w:tr>
    </w:tbl>
    <w:bookmarkStart w:name="z27" w:id="14"/>
    <w:p>
      <w:pPr>
        <w:spacing w:after="0"/>
        <w:ind w:left="0"/>
        <w:jc w:val="left"/>
      </w:pPr>
      <w:r>
        <w:rPr>
          <w:rFonts w:ascii="Times New Roman"/>
          <w:b/>
          <w:i w:val="false"/>
          <w:color w:val="000000"/>
        </w:rPr>
        <w:t xml:space="preserve"> Требования к помещению</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занятий (кружков/секций)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оснащению (помещений)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кружков и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xml:space="preserve">
Помещение: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подтверждения посещаемости ребенка, в том числе через электронные системы учета посещаемости с использованием QR-кодов с функцией передачи данных геолокации и (или) Face ID и т.д. терминалы генерации QR </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 помещения: закрытое, отапливаемое, проветриваемое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доступная среда: пандусы, при необходимости подъемники (для проведения занятий с детьми с ограниченными возможностями)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санитарные условия: соответствие СанПиН (санитарно-эпидемиологическим требованиям); ежедневная уборка, проветривание, кварцевание (по графику); наличие журналов дезинфекции и уборки; обеспечение питьевого режима (кулер, бачок с водой); медицинская аптечка, пост первой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туалеты: раздельные для мальчиков и девочек, обеспеченные бумагой и санитайзерами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расписание занятий (уроков, учителей)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шкафчики: для хранения одежды, с номерами, в количестве не менее максимального человек в группе, установленных настоящим документом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Строительные нормы Республики Казахстан. Закрытие спортивные залы. СН РК 3.02.-18-2013 (с изменениями и дополнениями от 15.11.2018 г)</w:t>
            </w:r>
          </w:p>
          <w:p>
            <w:pPr>
              <w:spacing w:after="20"/>
              <w:ind w:left="20"/>
              <w:jc w:val="both"/>
            </w:pPr>
            <w:r>
              <w:rPr>
                <w:rFonts w:ascii="Times New Roman"/>
                <w:b w:val="false"/>
                <w:i w:val="false"/>
                <w:color w:val="000000"/>
                <w:sz w:val="20"/>
              </w:rPr>
              <w:t>
Приказ Министра культуры и спорта Республики Казахста от 28 апреля 2021 года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