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03b1" w14:textId="8e20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286 076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233 385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372 696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170 415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78 005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92 410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–194 745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62 854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23 211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39 643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66 187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-3 333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99 543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65 789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110 344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10 801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49 254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43 133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49 754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35 401 тысяч тенге, в том числе по: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29 911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37 401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54 178 тысяч тенге, в том числе по: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11 375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42 053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64 773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52 945 тысяч тенге, в том числе по: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42 478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56 478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- 3 533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52 891 тысяч тенге, в том числе по: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12 881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40 010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56 124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46 498 тысяч тенге, в том числе по: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34 497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49 598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40 292 тысяч тенге, в том числе по: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34 046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41 343 тысяч тенге, в том числе по: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38 292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45 993 тысяч тенге, в том числе по: 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16 604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29 389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49 293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39 111 тысяч тенге, в том числе по: 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37 379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39 811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49 096 тысяч тенге, в том числе по: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15 469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33 627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56 929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-7 833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48 598 тысяч тенге, в том числе по: 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6 026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42 572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50 998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3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5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5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5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6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6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6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