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9aa0" w14:textId="f0c9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Осакаровского района от 30 сентября 2025 года № 89/03 "Об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10 декабря 2025 года № 112/03</w:t>
      </w:r>
    </w:p>
    <w:p>
      <w:pPr>
        <w:spacing w:after="0"/>
        <w:ind w:left="0"/>
        <w:jc w:val="both"/>
      </w:pPr>
      <w:bookmarkStart w:name="z4" w:id="0"/>
      <w:r>
        <w:rPr>
          <w:rFonts w:ascii="Times New Roman"/>
          <w:b w:val="false"/>
          <w:i w:val="false"/>
          <w:color w:val="000000"/>
          <w:sz w:val="28"/>
        </w:rPr>
        <w:t xml:space="preserve">
      Рассмотрев заявление директора товарищества с ограниченной ответственностью "COPPER MINING INDUSTRY" Дәуренқұлова Бақыт Бекетбайұлы,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30 сентября 2025 года №89/03 "Об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Union Group"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MINING INDUSTRY";</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863,078 гектаров, расположенные на территории сельского округа Жансары Осакаровского района без изъятия земельных участков сроком до 06 декабря 2028 года для проведения операций по разведке твердых полезных ископаемых товариществом с ограниченной ответственностью "COPPER MINING INDUSTRY",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2. Товариществу с ограниченной ответственностью "COPPER MINING INDUSTRY"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4"/>
    <w:bookmarkStart w:name="z11"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