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468d" w14:textId="8fd4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"Copper Union Group"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21 июля 2025 года № 68/02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 204,69 гектаров, расположенные на территории Шидертинского сельского округа Осакаровского района без изъятия земельных участков сроком до 3 сентября 2030 года для проведения операций по разведке твердых полезных ископаемых товариществом с ограниченной ответственность "Copper Union Group",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"Copper Union Group" (по согласованию) необходимо возместить убытки собственникам земельных участков и землепользователям в полном объеме.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Осакаровского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№68/02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в границах лицензии на разведку твердых полезных ископаемых от 3 сентября 2024 года № 2822-EL, в отношении которых подлежит установлению публичный сервитут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лицензии),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09-137-041-007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Шидертинский сельский округ, крестьянское хозяйство "Максат"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09-137-041-043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Осакаровский район, Шидертинский сельский округ товарищество с ограниченной ответственностью "Birlik Agro Invest"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