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7f17" w14:textId="1b17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Осакаровского района от 29 декабря 2017 года № 70/01 "Об утверждении схемы пастбищеоборотов Осакаровского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19 мая 2025 года № 47/01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Осакаровского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Осакаровского района от 29 декабря 2017 года №70/01 "Об утверждении схемы пастбищеоборотов Осакаровского района" (зарегистрировано в Реестре государственной регистрации нормативных правовых актов №4569)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рекомендуемых схем пастбищеоборотов Осакаровского района";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рекомендуемые схемы пастбищеоборотов Осакаровского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