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9aef" w14:textId="9609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национальной безопасности Республики Казахстан от 28 декабря 2018 года № 110/қе "Об утверждении Правил деятельности жилищных комиссий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14 октября 2025 года № 94/қе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28 декабря 2018 года № 110/қе "Об утверждении Правил деятельности жилищных комиссий органов национальной безопасности Республики Казахстан" (зарегистрирован в Реестре государственной регистрации нормативных правовых актов под № 18122)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деятельности жилищных комиссий и работы информационной системы органов национальной безопасности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второй пункта 4 статьи 77 Закона Республики Казахстан "О жилищных отношениях"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жилищных комиссий и работы информационной системы органов национальной безопасности Республики Казахстан.";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жилищных комиссий органов национальной безопасности Республики Казахстан, утвержденных указанным приказом: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деятельности жилищных комиссий и работы информационной системы органов национальной безопасности Республики Казахстан";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деятельности жилищных комиссий ОНБ осуществляется автоматически посредством информационной системы при ее наличии.";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работы информационной системы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Информационная система предназначена для учета, хранения, обработки и анализа данных претендентов и обеспечивает централизованный сбор, систематизацию информации, необходимой для принятия решений жилищной комиссией.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данных в информационную систему осуществляется секретарем жилищной комиссии на основании решений жилищной комиссии.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Работа информационной системы осуществляется в соответствии с законодательством Республики Казахстан об информатизации, о персональных данных и их защите.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Доступ к информационной системе предоставляется уполномоченным сотрудникам с правом контролировать и выполнять соответствующие операции в рамках своей компетенции.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Работа информационной системы включает в себя следующие функции: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учет – регистрация и фиксация данных о претендентах для последующего анализа и принятия решений;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хранение данных – безопасное и долговременное хранение персональной и служебной информации с обеспечением ее конфиденциальности и защиты;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обработка данных – автоматизированная проверка, сортировка и структурирование сведений, поступающих от сотрудников, военнослужащих и работников;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анализ данных – проведение автоматизированной оценки, сравнения и обобщения информации для подготовки решений жилищной комиссии и формирования отчетности;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централизованный сбор – обеспечение централизованного приема и объединения данных из предоставленных документов в единый структурированный массив;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систематизация информации – упорядочивание и классификация поступающих данных по установленным признакам (категориям, статусам, срокам, очередности) с последующей подготовкой к обработке и анализу.".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кадров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