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5544" w14:textId="6875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3 февраля 2021 года № 11/дсп "Об утверждении натуральных норм снабжения материально-техническими средствами Академии Комитета национальной безопасности Республики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апреля 2025 года № 41/қе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национальной безопасности Республики Казахстан от 3 февраля 2021 года № 11/дсп "Об утверждении натуральных норм снабжения материально-техническими средствами Академии Комитета национальной безопасности Республики Казахстана" (зарегистрирован в Реестре государственной регистрации нормативных правовых актов за № 22277)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статьи 70 Бюджетного кодекса Республики Казахстан и пунктом 4 статьи 84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Республики Казахстан под № 33059);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Комитета национальной безопасности Республики Казахстан об исполнении мероприятий, предусмотренных подпунктами 1) и 2) настоящего пункта, в течение пяти календарных дней со дня размещения настоящего приказа в Эталонном контрольном банке нормативных правовых актов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Казахстан, курирующего деятельность Академии Комитета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