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5a66" w14:textId="60c5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Председателя Комитета национальной безопасности Республики Казахстан от 5 мая 2015 года № 32 "Об утверждении норм снабжения служебными животными Пограничной службы и Пограничной академии Комитета национальной безопасности Республики Казахстан" и от 30 декабря 2021 года № 904/нс-па "Об утверждении норм снабжения альтернативными источниками энергии зданий и сооружений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25 апреля 2025 года № 27/қе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5 мая 2015 года № 32 "Об утверждении норм снабжения служебными животными Пограничной службы и Пограничной академии Комитета национальной безопасности Республики Казахстан" (зарегистрированный в Реестре государственной регистрации нормативных правовых актов за № 11302)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декабря 2021 года № 904/нс-па "Об утверждении норм снабжения альтернативными источниками энергии зданий и сооружений Пограничной службы Комитета национальной безопасности Республики Казахстан"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за № 33059).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пункта 3 настоящего приказа возложить на заместителя Председателя Комитета национальной безопасности Республики Казахстан – Директора Пограничной службы генерал-майора Алдажұманова Ерлана Ерғалиұлы.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настоящим приказом ознакомить сотрудников и военнослужащих органов национальной безопасности Республики Казахстан в части, их касающейся.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2025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