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fad" w14:textId="dea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7 "О бюджетах сел, поселков и сельских округов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17 февраля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Бухар-Жырауского районного маслихата от 26 декабря 2024 года №7 "О бюджетах сел, поселков и сельских округов района на 2025-2027 годы"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237 190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96 394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139 477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241 071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3 881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107 856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45 680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62 176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109 426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1 570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133 973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86 853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47 120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134 091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106 671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45 777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60 689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137 178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30 507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97 992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42 710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55 282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106 599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8 607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73 109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11 417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61 692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75 407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2 298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76 657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17 679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58 978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77 610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51 863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17 765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34 098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54 337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87 910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18 252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69 128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88 357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тысяч тенге."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137 625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91 092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46 402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143 704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6 079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31 883 тысяч тенге."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128 075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8 819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119 256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129 229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40 964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4 564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36 400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41 040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34 782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2 561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32 221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35 062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108 492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4 749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103 743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109 278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49 050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8 476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40 574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53 746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4 696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33 553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31 401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36 886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48 503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3 420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45 083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48 756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49 048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5 913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43 135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49 262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61 194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10 313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50 881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67 378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6 184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50 878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8 147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42 731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53 070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66 433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10 237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55 756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66 835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100 924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25 929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74 995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107 812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6 888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64 075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7 616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56 459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68 474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4 399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38 832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1 674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37 158тысяч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39 020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46 937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12 631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34 306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51 047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4 110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104 398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8 612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95 786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105 174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56 088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6 806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49 282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56 563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56 978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44 478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57 127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21 036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11 482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8 904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58 437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37 401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