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711" w14:textId="cfc9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2025 года № 56/03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акимат Карагандинской области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эксплуатации ирригационных и коллекторно-дренажных систем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56/03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ирригационных и коллекторно-дренажных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водных ресурсов и ирригации Республики Казахстан "Об утверждении Типовых правил эксплуатации ирригационных и коллекторно-дренажных систем" от 24 июля 2025 года № 181-НҚ (зарегистрирован в государственном Реестре нормативных правовых актов № 36506) и определяют порядок эксплуатации ирригационных и коллекторно-дренажных систем (далее - Систем).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Системы подразделяются на магистральные, межхозяйственные и внутрихозяйственные.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- совокупность факторов, действующих на системы при их эксплуатации;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—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собственник).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обнаружение неполадок с уведомлением бассейновой водной инспекции по охране и регулированию использования водных ресурсов.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окончании поливного сезона осуществляется консервация насосной станции, включающая: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