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ee97" w14:textId="2c0e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12 декабря 2024 года № 234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13 марта 2025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2025-2027 годы" от 12 декабря 2024 года №234 (зарегистрировано в Реестре государственной регистрации нормативных правовых актов №204266)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601042432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144028966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4696052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452285363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614764156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5064153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15681034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10616881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449099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449099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-19234976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19234976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13981034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14599207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2025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Сарань – по 50 процентов, города Темиртау – 53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Абайского, Актогайского, Нуринского, Осакаровского, Шетского районов, городов Приозерск, Сарань, Шахтинск – по 80 процентов, Бухар-Жырауского района – 82 процента, Каркаралинского района –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49 процентов, города Караганды – 50 процентов, города Балхаш – 52 процента, Абайского, Актогайского, Бухар-Жырауского, Каркаралинского, Нуринского, Осакаровского, Шетского районов, городов Приозерск, Сарань, Шахтинск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-19234976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-13850741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-8197813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