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aec8" w14:textId="cd1a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29 марта 2025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железнодорожного и водного транспорта Министерства транспорта Республики Казахстан",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126-1) и 126-2) следующего содержания: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"126-1) определение порядка и формы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126-2) осуществление подтверждения целевого назначения товаров в пределах своей компетенции;";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Казахстан", утвержденного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"22-1) разработка правил субсидирования за счет бюджетных средств убытков перевозчиков, связанных с осуществлением социально значимых перевозок пассажиров;";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разработка перечня классификации подвижного состава, специального подвижного состава;".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