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b7c9" w14:textId="554b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науки и высшего образования Республики Казахстан от 26 апреля 2024 года № 193 "О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29 октября 2025 года № 497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и </w:t>
      </w:r>
      <w:r>
        <w:rPr>
          <w:rFonts w:ascii="Times New Roman"/>
          <w:b w:val="false"/>
          <w:i w:val="false"/>
          <w:color w:val="000000"/>
          <w:sz w:val="28"/>
        </w:rPr>
        <w:t>пунктом 34-1</w:t>
      </w:r>
      <w:r>
        <w:rPr>
          <w:rFonts w:ascii="Times New Roman"/>
          <w:b w:val="false"/>
          <w:i w:val="false"/>
          <w:color w:val="000000"/>
          <w:sz w:val="28"/>
        </w:rPr>
        <w:t xml:space="preserve"> Типовых правил приема на обучение в организации образования, реализующие образовательные программы послевузовского образования, утвержденных приказом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26 апреля 2024 года № 193 "О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"Государственный образовательный заказ на подготовку магистров на 2025-2026 учебный год" изложить в следующей редакции:</w:t>
      </w:r>
    </w:p>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121"/>
        <w:gridCol w:w="1035"/>
        <w:gridCol w:w="7065"/>
        <w:gridCol w:w="956"/>
        <w:gridCol w:w="604"/>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и классификация направлений подготовки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группы образовательной программы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 образовательных программ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Научно-педагогическая магистратура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Профильная магистратура</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3044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Социальная работа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Технического университета Берлин на базе НАО "Каспийский университет технологии и инжиниринга имени Ш. Есенова"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10654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10974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9" w:id="4"/>
    <w:p>
      <w:pPr>
        <w:spacing w:after="0"/>
        <w:ind w:left="0"/>
        <w:jc w:val="both"/>
      </w:pPr>
      <w:r>
        <w:rPr>
          <w:rFonts w:ascii="Times New Roman"/>
          <w:b w:val="false"/>
          <w:i w:val="false"/>
          <w:color w:val="000000"/>
          <w:sz w:val="28"/>
        </w:rPr>
        <w:t>
      ";</w:t>
      </w:r>
    </w:p>
    <w:bookmarkEnd w:id="4"/>
    <w:bookmarkStart w:name="z10" w:id="5"/>
    <w:p>
      <w:pPr>
        <w:spacing w:after="0"/>
        <w:ind w:left="0"/>
        <w:jc w:val="both"/>
      </w:pPr>
      <w:r>
        <w:rPr>
          <w:rFonts w:ascii="Times New Roman"/>
          <w:b w:val="false"/>
          <w:i w:val="false"/>
          <w:color w:val="000000"/>
          <w:sz w:val="28"/>
        </w:rPr>
        <w:t>
      в приложении 3 к указанному приказу:</w:t>
      </w:r>
    </w:p>
    <w:bookmarkEnd w:id="5"/>
    <w:bookmarkStart w:name="z11" w:id="6"/>
    <w:p>
      <w:pPr>
        <w:spacing w:after="0"/>
        <w:ind w:left="0"/>
        <w:jc w:val="both"/>
      </w:pPr>
      <w:r>
        <w:rPr>
          <w:rFonts w:ascii="Times New Roman"/>
          <w:b w:val="false"/>
          <w:i w:val="false"/>
          <w:color w:val="000000"/>
          <w:sz w:val="28"/>
        </w:rPr>
        <w:t>
      раздел "Государственный образовательный заказ на подготовку докторов PhD на 2025-2026 учебный год" изложить в следующей редакции:</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694"/>
        <w:gridCol w:w="1748"/>
        <w:gridCol w:w="3275"/>
        <w:gridCol w:w="1399"/>
        <w:gridCol w:w="1084"/>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и классификация направлений подготовки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группы образовательной программы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 образовательных программ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Научно-педагогическая докторантура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Профильная докторантура</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Педагогические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и психология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Педагогика дошкольного воспитания и обучения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Подготовка педагогов без предметной специализации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Подготовка педагогов с предметной специализацией общего развития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Подготовка педагогов по естественнонаучным предметам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Подготовка педагогов по гуманитарным предметам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Подготовка педагогов по языкам и литературе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Подготовка социальных педагогов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Cпециальная педагогика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Cпециальная педагогика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Искусство и гуманитарные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Гуманитарные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Социальные науки, журналистика и информация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Социальные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и информация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управление и право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и управление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Право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Естественные науки, математика и статистика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Биологические и смежные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Окружающая среда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Физические и химические науки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и статистика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Информационно-коммуникационные технологии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Информационно-коммуникационные технологии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Информационная безопасность</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Инженерные, обрабатывающие и строительные отрасли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и инженерное дело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Производственные и обрабатывающие отрасли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Архитектура и строительство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Водное хозяйство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Стандартизация, сертификация и метрология (по отраслям)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Сельское хозяйство и биоресурсы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Животноводство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Лесное хозяйство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Рыбное хозяйство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Водные ресурсы и водопользование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Услуги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Сфера обслуживания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и охрана труда на производстве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Транспортные услуги</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Социальная работа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13" w:id="8"/>
    <w:p>
      <w:pPr>
        <w:spacing w:after="0"/>
        <w:ind w:left="0"/>
        <w:jc w:val="both"/>
      </w:pP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11"/>
    <w:bookmarkStart w:name="z17"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2"/>
    <w:bookmarkStart w:name="z18" w:id="13"/>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