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3754" w14:textId="fda3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24 декабря 2025 года № 238.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22 232 452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15 988 428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127 635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316 096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5 800 293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23 200 483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968 031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968 031 тысяч тенге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1 443 518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2 411 549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Сатпаевского городского маслихата области Ұлытау от 21.04.2026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нормативы распределения доходов в городской бюджет в следующих размерах: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100 процентов.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доходов и расходов городского бюджета на 2026 год предусмотрены целевые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на 2026 год в сумме 327 000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Сатпаевского городского маслихата области Ұлытау от 21.04.2026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238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Сатпаевского городского маслихата области Ұлытау от 21.04.2026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259 222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1 275 040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928 319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238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18 289 251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18 024 933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9 980 788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278 766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968 519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238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3 946 278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292 704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1 016 943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238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и областного бюджета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магистральной тепловой сети №1 города Сатпаев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модернизацию водозаборных сооружений подземных вод Эскулинского месторождения города Сатпаев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замену участка второй нитки Эскулинского водовода от УВС-1 до точки "А"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модернизацию водозаборных сооружений подземных вод Эскулинского месторождения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магистральной тепловой сети №2 города Сатпаев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резервной линии ВЛ - 35 кВ от II системы шин 35кВ П/С-220 кВ "Никольская" до ЦРП-35кВ "УВС-1 Экскулинского водозабора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строительства административного здания города Сатпаев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