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da97" w14:textId="954d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пороговых значений розничных цен на социально значимые продовольственные товары по области Ұлытау на второй квартал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13 мая 2025 года № 40/01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регулировании торговой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марта 2015 года № 282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 в Реестре государственной регистрации Нормативных правовых актов №11245),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пороговые значения розничных цен на социально значимые продовольственные товары по области Ұлытау на второй квартал 2025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промышленности области Ұлытау"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Ұлытау.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40/01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Пороговые значения розничных цен на социально значимые продовольственные товары по области Ұлытау на второй квартал 2025 года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квартал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 (формовой),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(весовые),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(ядрица, весовая),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 (круглозерный, весовой),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Картофель, килограм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белый – сахар-песок,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подсолнечное,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(лопаточно-грудная часть с костями),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2,5 % жирности в мягкой упаковке,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2,5 % жирности в мягкой упаковке,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(несоленое, не менее 72,5 % жирности, без наполнителей и растительных жиров),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(I категория),10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пищевая, (кроме "Экстра"),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Творог: 5-9 % жирности,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