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ab8f" w14:textId="525a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2025 года № 167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государственного задания.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бюджетного планирования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труда и социальной защиты населения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государственного задания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определения стоимости государственного задания.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государственного задания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государственного задания определяется исходя из сумм прямых, косвенных и накладных расходов по следующей формуле: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∑ПР+КР+НР,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 – накладные расходы.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стоимости государственного задания указывается заработная плата всех работников, непосредственно участвующих в выполнении государственного задания, по должностям в соответствии со штатным расписанием отдельно по каждому работнику.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относится заработная плата работников, осуществляющих государственное задание.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косвенным расходам относятся командировочные расходы.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накладным расходам относятся: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материалов и оборудований;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транспортные расходы;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аренда помещения;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 оборудования и техники;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научно-организационное сопровождение;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налоги и другие обязательные платежи в бюджет;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обслуживание и ремонт основных средств и нематериальных активов;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амортизация основных средств и нематериальных активов;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прочие расходы (информационные услуги, необходимые непосредственно для проведения государственного задания, коммунальные услуги (электроэнергия, отопление, водоснабжение и канализация, вывоз мусора), расходы на содержание и обслуживание здания, услуги связи и интернет, банковские услуги).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