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e276" w14:textId="572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7 октября 2025 года № 31/13-VIII. Утратило силу решением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6 085 282,6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1 801 042,0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4 266 769,6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6 717 889,1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исполнению на 2025 год нормативы распределения доходов в бюджет района по социальному налогу 94,0 процента, индивидуальному подоходному налогу с доходов 92,3 процента,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1 430 339,5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905 600,5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