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3ba2" w14:textId="e323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Абай от 26 сентября 2024 года № 19/131-VIII "О предоставлении дополнительного гарантированного объҰма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области Абай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8 декабря 2025 года № 32/217-VIII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26 сентября 2024 года № 19/131-VIII "О предоставлении дополнительного гарантированного объҰма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области Абай при амбулаторном лечении бесплатно"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19/131-VIII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области Абай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 или медицинских изделий или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(первичная)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Риоцигуат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Риоцигуат Бозентан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Ривароксабан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иммунодефицит. Дефект в системе комплемента. Наследственный ангионевротический отек.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Тофацитиниб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Анакинра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Аутовоспалительное заболевание CANDLE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дети с бронхолегочной дисплазией и/или с врожденными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от 28-ми дней до 18-ми месяцев, при тяжелом течении бронхолегочной дисплазии или с гемодинамически значимыми врожденными пороками сердца до 2-х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Эпилептическая энцефалопатия при синдроме Драве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 (Топамакс), Вальпроевая кислота (ДепакинХроно)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Гломерулярная болезнь, нефротический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рецидиве – вновь возникшая протеинурия после полной ремиссии или нарастание после частичной ремиссии.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паралич, сопровождающийся белково – энергетической недостаточностью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10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врожденные пороки развития (синдром Мебиуса, Бульбарный синдром, аномалии головного мозга и синдром Дауна)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10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