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73ce" w14:textId="100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26 сентября 2024 года № 19/131-VIII "О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22 октября 2025 года № 31/207-VIII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26 сентября 2024 года № 19/131-VIII "О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области Абай       Ш. Байбеков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19/131-VIII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области Абай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 или медицинских изделий или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Риоцигуат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сердце. Хроническая посттромбоэмболическая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сердца, Синдром Эйзенменгера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Тофацитиниб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Анакинра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Аутовоспалительное заболевание CANDLE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бронхолегочной дисплазией и/или с врожденными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от 28-ми дней до 18-ми месяцев, при тяжелом течении бронхолегочной дисплазии или с гемодинамически значимыми врожденными пороками сердца до 2-х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 при синдроме Драве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 (Топамакс), Вальпроевая кислота (ДепакинХроно)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Гломерулярная болезнь, 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– вновь возникшая протеинурия после полной ремиссии или нарастание после частичной ремиссии.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 стадии 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паралич, сопровождающийся белково – энергетической недостаточностью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10 лет, состоящие на динамическом наблюдении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пороки развития (синдром Мебиуса, Бульбарный синдром, аномалии головного мозга и синдром Дауна)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лечебные продукты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