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ab7" w14:textId="82d3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27 ноября 2014 года № 3-4/617 "Об утверждении норм естественной убыли, усушки, утряски, порчи сельскохозяйственной продукции и продуктов ее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декабря 2025 года № 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3-4/617 "Об утверждении норм естественной убыли, усушки, утряски, порчи сельскохозяйственной продукции и продуктов ее переработки" (зарегистрирован в Реестре государственной регистрации нормативных правовых актов № 10017)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26)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естественной убыли, усушки, утряски, порчи сельскохозяйственной продукции и продуктов ее переработки,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49. Нормы естественной убыли, усушки, утряски, порчи массы столовых корнеплодов картофеля, плодовых и зеленых овощных культур разных сроков созревания при хранении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склада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усушки, утряски, порчи,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корнеплоды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пакеты из полиэтиленовой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пленки,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культуры (открытого и защищенного грунтов)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Салат, укроп, петрушка, базилик, сельдерей, любисток, щавель, эстрагон, чабер, горчица салатная, кресс-салат, кориандр, лук зеленый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разных сроков созревания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спелости сорта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склада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хранения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хранения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потерь от естественной убыли,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градусов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ранние и среднеранние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сетках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сетках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сетках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02.апр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