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347f" w14:textId="64d3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марта 2025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84-16), 84-17), 84-18) и 84-19)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"84-16) проводит в пределах своей компетенции оценку уязвимости к изменению климата;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84-17) определяет в пределах своей компетенции приоритеты и меры по адаптации к изменению климата;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84-18) осуществляет в пределах своей компетенции меры по адаптации к изменению климата;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84-19) осуществляет мониторинг и оценку эффективности мер по адаптации к изменению климата, определенных в пределах своей компетенции, и корректировку этих мер на основе результатов мониторинга и оценки;".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