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c2f48" w14:textId="cbc2f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Шымкент от 21 декабря 2021 года № 1633 "Об утверждении Положения государственного учреждения "Управление энергетики и развития инфраструктуры города Шымкент"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от 3 ноября 2025 года № 5973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города Шымкент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Шымкент от 21 декабря 2021 года № 1633 "Об утверждении Положения государственного учреждения "Управление энергетики и развития инфраструктуры города Шымкент"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в новой редакции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энергетики и развития инфраструктуры города Шымкент" утвержденное указанным постановлением,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энергетики и развития инфраструктуры города Шымкент"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в электронном виде на казахском и русском языках, удостоверенном электронной цифровой подписью;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Шымкент после его официального опубликования;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мер, вытекающих из настоящего постановления.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Шымкент.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Шымкент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Сыздыкбеков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"" 2025 года №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гоcударственном учреждении "Управление энергетики и развития инфраструктуры города Шымкент"</w:t>
      </w:r>
    </w:p>
    <w:bookmarkEnd w:id="6"/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"Управление энергетики и развития инфраструктуры города Шымкент" (далее- Управление) является государственным органом Республики Казахстан, осуществляющим руководство в области энергетики, коммунального хозяйства, промышленной безопасности на территории города Шымкент.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не имеет ведомства.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Республики Казахстан, Правительства Республики Казахстан, постановлениями акимата города Шымкент, решениями и распоряжениями акимат города Шымкент, иными нормативными правовыми актами и настоящим положением.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является юридическим лицом в организационно-правовой форме коммунального государственного учреждения, имеет печать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вступает в гражданско-правовые отношения от собственного имени.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 и другими актами, предусмотренными законодательством Республики Казахстан.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Управления утверждаются в соответствии с действующим законодательством.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160011, Республика Казахстан, город Шымкент, Аль-Фарабийский район, проспект Тауке хана 6.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и местных бюджетов, бюджета (сметы расходов) Национального Банка Республики Казахстан в соответсвии с законодательством Республики Казахстан.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бюджета, если иное не установлено законодательством Республики Казахстан.</w:t>
      </w:r>
    </w:p>
    <w:bookmarkStart w:name="z2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деятельности в области энергетики и коммунального хозяйства на территории города Шымкент.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 и обязанности Управления: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необходимую информацию у всех государственных органов города Шымкент и иных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проводить переговоры и заключать соглашения с юридическими лицами по вопросам, относящимся к компетенции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Управление вступает в гражданско-правовые отношения от собственного имени;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вносить предложения акиму города Шымкент по вопросам, входящим в компетенцию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вносить в установленном порядке проекты постановлений акимата, решений и распоряжений акима и решений Маслихата по вопросам, входящим в компетенцию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инициировать создание комиссий, советов, рабочих групп и других совещательных органов при акимате города Шымкент для реализации мер государственной политики в сфере энергетики, коммунального-хозяйства, промышленной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средств, выделенных Управлению, привлекать в установленном порядке для разработки вопросов, входящих в компетенцию Управления научно-исследовательские организации, а также отдельных специалистов;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рассмотрение производств по делам об административных правонарушениях в сфере электроэнергетики, промышленной безопасности, газоснабжении, коммунального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запрещать применения на технических устройствах материалов и изделий, конструкций, оборудования, не соответствующих государственным стандартам и техническим условиям, законодательству в области промышленной безопасности, энергетики, коммунального хозяйства, газе и газоснабжении;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разрабатывать и вносить в акимат города Шымкент и в маслихат города Шымкент и иные государственные органы программы, предложения об улучшении работы по энергосбережению, обслуживанию энергетической сферы и коммунального хозяйства, поставке коммунальных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организовывать и проводить в установленном законом порядке конкурсы по государственным закупкам товаров, работ,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сотрудничать с общественными объединениями и иными организациями в целях разработки социальной, экономической и технической политики в области энергетики и коммунального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обращаться с иском в суд в порядке, установленном Гражданским процессуальным кодексом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осуществлять управление переданным ему имуществом;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осуществлять иные полномочия, предоставленные законодательными актами Республики Казахстан.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снос аварийного жилья;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организует подготовку проектно-сметной документации, технико-экономических обоснований проектов землеустроительных работ для инженерно-коммуникационных инфраструктур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организует работы по приобретению и созданию имущества на основании гражданско-правовых договоров;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контроль за полнотой и своевременностью перечисления государственными предприятиями в бюджет установленной части чистого дохода соответствующей отрасли;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участвует в расследовании аварий совместно с заинтересованными государственными органами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участвует в организации и проведении конкурсов на проектирование и строительство объектов, финансируемых за счет средств государственного бюджета, внешних займов, предоставляемых под правительственные гарантии Республики Казахстан, и других источников;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участвует в разработке инвестиционных программ и проектов, а также годовых планов по реализации стратегии социально-экономического развития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предоставления отчетов в Правительство Республики Казахстан и иные государственные органы по вопросам, входящим в компетенцию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участвует в конкурсных мероприятиях по государственным закупкам имущества, работ и услуг и осуществление указанных государственных закупок;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реализует текущих бюджетных программ и программ развития, осуществление функций заказчика при строительстве, реконструкции, реставрации, модернизации и восстановлении инженерных сетей, финансируемых за счет средств государственного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функций органа государственного управления в отношении коммунальных государственных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контроля за исполнением нормативных правовых актов и поручений Правительства Республики Казахстан, акимата и акима города Шымкент по вопросам, касающимся энергетической сферы и коммунального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организует строительства, реконструкции и эксплуатации сетей водоснабжения и водоотведения, очистных сооружений, линий электропередачи, и других объектов инженерной инфраструктуры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выдает заключение о технической целесообразности строительства дублирующих (шунтирующих) линий электропередач и подстанций для объектов 110 кВ и ниже, 220 кВ и выше;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обеспечивает проведение государственной политики в области энергосбережения и повышения энергоэффективности;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согласовывает проектирования и строительства дублирующих (шунтирующих) линий электропередачи и подстанций;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разрабатывает программы действий акимата в области энергетики и коммунального хозяйства, контроль за их реализацией;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разрабатывает и реализует региональной научно-технической политики в области энергетики и коммунального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участвует в реализации целевых государственных программ по развитию возобновляемых источников энергии;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осуществляет ежедневного оперативного контроля за состоянием энергетического комплекса и коммунального хозяйства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осуществляет контроль за соблюдением требований безопасной эксплуатации газ потребляющих систем и газового оборудования бытовых и коммунально-бытовых потребителей;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участвует в реализации генеральной схемы газификации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осуществляет контроль учета объектов газоснабжения коммунально – бытового сектора;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осуществляет контроль за эффективностью производственного контроля, готовности организаций к ликвидации аварии и их последствии, работы по локализации и ликвидации последствий аварий на объектах газ потребления и газораспределения;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участвует в работе рабочих по приемке в эксплуатацию законченного строительства и реконструированных систем газораспределения и газ потребления на соответствие требованиям нормативно – правовых актов в сфере газоснабжения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осуществляет контроль за соблюдением проектными организациями требований правил безопасности, технических условий, государственных стандартов при проектировании строительства, реконструкций объектов газораспределения и газ потребления и подъемных сооружений коммунально – бытового сектора;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составляет прогноз потребления нефтепродуктов и проводит мониторинг цен на горюче-смазочные материалы, цены на которые установлены государственным регулированием на предстоящий календарный год на территории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осуществляет учет производителей сжиженного нефтяного газа и публикует их перечень на своих интернет – ресурсах;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 пределах своей компетенции осуществляет контроль за оборотом сжиженного нефтяного газа, реализуемого в рамках плана поставки сжиженного нефтяного газа на внутренний рынок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осуществляет в порядке, определяемом уполномоченным органом, распределение объемов сжиженного нефтяного газа, выделенных в рамках плана поставки вне товарных бирж;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создает комиссии по распределению объемов сжиженного нефтяного газа;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ежеквартально предоставляет в уполномоченный орган потребность города Шымкент в сжиженном нефтяном газе на предстоящий квартал с разбивкой по месяцам;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ведет и публикует на интернет-ресурсе реестр владельцев групповых резервуарных установок;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представляет в уполномоченный орган прогноз потребления сжиженного нефтяного газа на территории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представляет в уполномоченный орган сведения по реализации и потреблению сжиженного нефтяного газа на территории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согласовывает плановый ремонт тепловых сетей (магистральных, внутриквартальных);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выдает паспорта готовности отопительных котельных всех мощностей и тепловых сетей (магистральных, внутриквартальных) к работе в осенне-зимних условиях;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осуществляет контроль за подготовкой и осуществлением ремонтно-восстановительных работ по тепловым сетям и их функционирования в осенне-зимний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проводит расследований технологических нарушений на тепловых сетях (магистральных, внутриквартальных);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согласовывает планов ремонта тепловых сетей (магистральных, внутриквартальных);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41) составляет протоколы об административных правонарушениях,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статьями 172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(частями третьей, пятой и шестой (в части субъектов теплоснабжения в местной системе теплоснабжения и потребителей тепловой энергии), </w:t>
      </w:r>
      <w:r>
        <w:rPr>
          <w:rFonts w:ascii="Times New Roman"/>
          <w:b w:val="false"/>
          <w:i w:val="false"/>
          <w:color w:val="000000"/>
          <w:sz w:val="28"/>
        </w:rPr>
        <w:t>300</w:t>
      </w:r>
      <w:r>
        <w:rPr>
          <w:rFonts w:ascii="Times New Roman"/>
          <w:b w:val="false"/>
          <w:i w:val="false"/>
          <w:color w:val="000000"/>
          <w:sz w:val="28"/>
        </w:rPr>
        <w:t xml:space="preserve"> (в части субъектов теплоснабжения в местной системе теплоснабжения и потребителей тепловой энергии), </w:t>
      </w:r>
      <w:r>
        <w:rPr>
          <w:rFonts w:ascii="Times New Roman"/>
          <w:b w:val="false"/>
          <w:i w:val="false"/>
          <w:color w:val="000000"/>
          <w:sz w:val="28"/>
        </w:rPr>
        <w:t>300-2</w:t>
      </w:r>
      <w:r>
        <w:rPr>
          <w:rFonts w:ascii="Times New Roman"/>
          <w:b w:val="false"/>
          <w:i w:val="false"/>
          <w:color w:val="000000"/>
          <w:sz w:val="28"/>
        </w:rPr>
        <w:t xml:space="preserve"> (в части субъектов теплоснабжения в местной системе теплоснабжения), </w:t>
      </w:r>
      <w:r>
        <w:rPr>
          <w:rFonts w:ascii="Times New Roman"/>
          <w:b w:val="false"/>
          <w:i w:val="false"/>
          <w:color w:val="000000"/>
          <w:sz w:val="28"/>
        </w:rPr>
        <w:t>301</w:t>
      </w:r>
      <w:r>
        <w:rPr>
          <w:rFonts w:ascii="Times New Roman"/>
          <w:b w:val="false"/>
          <w:i w:val="false"/>
          <w:color w:val="000000"/>
          <w:sz w:val="28"/>
        </w:rPr>
        <w:t xml:space="preserve"> (в части субъектов теплоснабжения в местной системе теплоснабжения), </w:t>
      </w:r>
      <w:r>
        <w:rPr>
          <w:rFonts w:ascii="Times New Roman"/>
          <w:b w:val="false"/>
          <w:i w:val="false"/>
          <w:color w:val="000000"/>
          <w:sz w:val="28"/>
        </w:rPr>
        <w:t>301-1</w:t>
      </w:r>
      <w:r>
        <w:rPr>
          <w:rFonts w:ascii="Times New Roman"/>
          <w:b w:val="false"/>
          <w:i w:val="false"/>
          <w:color w:val="000000"/>
          <w:sz w:val="28"/>
        </w:rPr>
        <w:t xml:space="preserve"> (в части субъектов теплоснабжения в местной системе теплоснабжения), </w:t>
      </w:r>
      <w:r>
        <w:rPr>
          <w:rFonts w:ascii="Times New Roman"/>
          <w:b w:val="false"/>
          <w:i w:val="false"/>
          <w:color w:val="000000"/>
          <w:sz w:val="28"/>
        </w:rPr>
        <w:t>301-2</w:t>
      </w:r>
      <w:r>
        <w:rPr>
          <w:rFonts w:ascii="Times New Roman"/>
          <w:b w:val="false"/>
          <w:i w:val="false"/>
          <w:color w:val="000000"/>
          <w:sz w:val="28"/>
        </w:rPr>
        <w:t xml:space="preserve"> (в части субъектов теплоснабжения в местной системе теплоснабжения), </w:t>
      </w:r>
      <w:r>
        <w:rPr>
          <w:rFonts w:ascii="Times New Roman"/>
          <w:b w:val="false"/>
          <w:i w:val="false"/>
          <w:color w:val="000000"/>
          <w:sz w:val="28"/>
        </w:rPr>
        <w:t>301-3</w:t>
      </w:r>
      <w:r>
        <w:rPr>
          <w:rFonts w:ascii="Times New Roman"/>
          <w:b w:val="false"/>
          <w:i w:val="false"/>
          <w:color w:val="000000"/>
          <w:sz w:val="28"/>
        </w:rPr>
        <w:t xml:space="preserve"> (в части субъектов теплоснабжения в местной системе теплоснабжения), </w:t>
      </w:r>
      <w:r>
        <w:rPr>
          <w:rFonts w:ascii="Times New Roman"/>
          <w:b w:val="false"/>
          <w:i w:val="false"/>
          <w:color w:val="000000"/>
          <w:sz w:val="28"/>
        </w:rPr>
        <w:t>303</w:t>
      </w:r>
      <w:r>
        <w:rPr>
          <w:rFonts w:ascii="Times New Roman"/>
          <w:b w:val="false"/>
          <w:i w:val="false"/>
          <w:color w:val="000000"/>
          <w:sz w:val="28"/>
        </w:rPr>
        <w:t xml:space="preserve"> (в части субъектов теплоснабжения в местной системе теплоснабжения и потребителей тепловой энергии), </w:t>
      </w:r>
      <w:r>
        <w:rPr>
          <w:rFonts w:ascii="Times New Roman"/>
          <w:b w:val="false"/>
          <w:i w:val="false"/>
          <w:color w:val="000000"/>
          <w:sz w:val="28"/>
        </w:rPr>
        <w:t>304</w:t>
      </w:r>
      <w:r>
        <w:rPr>
          <w:rFonts w:ascii="Times New Roman"/>
          <w:b w:val="false"/>
          <w:i w:val="false"/>
          <w:color w:val="000000"/>
          <w:sz w:val="28"/>
        </w:rPr>
        <w:t xml:space="preserve"> (в части тепловых сетей субъектов теплоснабжения в местной системе теплоснабжения, потребителей тепловой энергии), </w:t>
      </w:r>
      <w:r>
        <w:rPr>
          <w:rFonts w:ascii="Times New Roman"/>
          <w:b w:val="false"/>
          <w:i w:val="false"/>
          <w:color w:val="000000"/>
          <w:sz w:val="28"/>
        </w:rPr>
        <w:t>305</w:t>
      </w:r>
      <w:r>
        <w:rPr>
          <w:rFonts w:ascii="Times New Roman"/>
          <w:b w:val="false"/>
          <w:i w:val="false"/>
          <w:color w:val="000000"/>
          <w:sz w:val="28"/>
        </w:rPr>
        <w:t xml:space="preserve"> (в части охранных зон тепловых сетей в местных системах теплоснабжения, потребителей тепловой энергии и объектов систем газоснабжения бытовых и коммунально-бытовых потребителей), </w:t>
      </w:r>
      <w:r>
        <w:rPr>
          <w:rFonts w:ascii="Times New Roman"/>
          <w:b w:val="false"/>
          <w:i w:val="false"/>
          <w:color w:val="000000"/>
          <w:sz w:val="28"/>
        </w:rPr>
        <w:t>307</w:t>
      </w:r>
      <w:r>
        <w:rPr>
          <w:rFonts w:ascii="Times New Roman"/>
          <w:b w:val="false"/>
          <w:i w:val="false"/>
          <w:color w:val="000000"/>
          <w:sz w:val="28"/>
        </w:rPr>
        <w:t xml:space="preserve"> (в части коммунально-бытовых потребителей), </w:t>
      </w:r>
      <w:r>
        <w:rPr>
          <w:rFonts w:ascii="Times New Roman"/>
          <w:b w:val="false"/>
          <w:i w:val="false"/>
          <w:color w:val="000000"/>
          <w:sz w:val="28"/>
        </w:rPr>
        <w:t>309-2</w:t>
      </w:r>
      <w:r>
        <w:rPr>
          <w:rFonts w:ascii="Times New Roman"/>
          <w:b w:val="false"/>
          <w:i w:val="false"/>
          <w:color w:val="000000"/>
          <w:sz w:val="28"/>
        </w:rPr>
        <w:t xml:space="preserve"> (в части тепловых сетей в местных системах теплоснабжения и потребителей тепловой энергии), Кодекса Республики Казахстан "Об административных правонарушениях";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координирует деятельность в области эффективного функционирования систем тепло- энерго-, водо- и газоснабжения, канализации и водоотведения;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43) формирует с центральным исполнительным органом, осуществляющим руководство в сфере жилищных отношений и жилищно-коммунального хозяйства, центральным исполнительным органом, осуществляющим руководство и межотраслевую координацию в области теплоэнергетики, и государственным органом, осуществляющим руководство в области электроэнергетики, совместно с субъектами естественных монополий и энергопроизводящими организациями в сферах, предусмотренных подпунктами 3), 4) и 14)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естественных монополиях", реестр субъектов естественных монополий с определением мероприятий инвестиционной программы по модернизации и строительству энергетической и коммунальной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осуществляет иные функции, возложенные на Управление в соответствии с законодательством Республики Казахстан.</w:t>
      </w:r>
    </w:p>
    <w:bookmarkStart w:name="z2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органа, коллегиальных органов (при наличии)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Управления осуществляется руководителем Управления,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Управления назначается на должность и освобождается от должности акимом города в соответствии с законодательством Республики Казахстан.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Управления имеет заместителей, которые назначаются на должность и освобождаются от должности в соответствии с законодательством Республики Казахстан.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Управления: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руководит работой Управление;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несет персональную ответственность за выполнение возложенных на Управление задач и функций, поручений акима и акимата города, курирующего заместителя акима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соответствии с законодательством назначает на должности и освобождает от должностей работников Управление, а также принимает на работу и увольняет с работы руководителей государственных коммунальных предприятий и их заместителей;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определяет обязанности и полномочия работников Управление, руководителей государственных коммунальных предприятий, находящихся в ведении Управление в соответствии с действующим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планы работ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без доверенности действует от имени Управление;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выдает доверенности;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применяет меры поощрения и налагает дисциплинарные взыскания на работников Управления, а также руководителей государственных коммунальных предприятий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издает в пределах своей компетенции приказы и дает указания, обязательные для исполнения всеми работниками Управления также организаций, находящихся в ведении;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утверждает внутренний трудовой распорядок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осуществляет контроль за соблюдением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 в Управлении;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личный прием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заключает договоры;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открывает банковские счета;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полномочия, предусмотренные законодательными актами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принимает меры, направленные на противодействие коррупционным правонарушениям в Управлении и несет персональную ответственность за принятие антикоррупционных 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представляет интересы Управления в государственных органах, иных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устанавливает меры вознаграждения работникам Управления и руководителям подведомственных предприятий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осуществляет иные функции, возложенные на него законодательством Республики Казахстан, настоящим положением и акиматом города.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Руководитель Управления несет персональную ответственность за финансово-хозяйственную деятельность и сохранность имущества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Управления определяет полномочия своих заместителей в соответствии с действующим законодательством.</w:t>
      </w:r>
    </w:p>
    <w:bookmarkEnd w:id="29"/>
    <w:bookmarkStart w:name="z3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собственником.</w:t>
      </w:r>
    </w:p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 относится к коммунальной собственности города.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3"/>
    <w:bookmarkStart w:name="z3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осуществляется в соответствии с законодательством Республики Казахстан.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государственных учреждений, находящихся в ведении Управления: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Государственное коммунальное предприятие "Управление водопровода и канализации" акимата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Государственное учреждение "Управление энергетики и развития инфраструктуры города Шымкент" "Қуатжылуорталық-3" государственное коммунальное предприятие.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