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d103" w14:textId="9ead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p>
      <w:pPr>
        <w:spacing w:after="0"/>
        <w:ind w:left="0"/>
        <w:jc w:val="both"/>
      </w:pPr>
      <w:r>
        <w:rPr>
          <w:rFonts w:ascii="Times New Roman"/>
          <w:b w:val="false"/>
          <w:i w:val="false"/>
          <w:color w:val="000000"/>
          <w:sz w:val="28"/>
        </w:rPr>
        <w:t>Приказ Министра финансов Республики Казахстан от 26 ноября 2025 года № 727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на 2025 финансовый год,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w:t>
      </w:r>
      <w:r>
        <w:rPr>
          <w:rFonts w:ascii="Times New Roman"/>
          <w:b w:val="false"/>
          <w:i w:val="false"/>
          <w:color w:val="000000"/>
          <w:sz w:val="28"/>
        </w:rPr>
        <w:t>Бюджетным кодексом</w:t>
      </w:r>
      <w:r>
        <w:rPr>
          <w:rFonts w:ascii="Times New Roman"/>
          <w:b w:val="false"/>
          <w:i w:val="false"/>
          <w:color w:val="000000"/>
          <w:sz w:val="28"/>
        </w:rPr>
        <w:t>,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3"/>
    <w:bookmarkStart w:name="z9" w:id="4"/>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bookmarkEnd w:id="4"/>
    <w:bookmarkStart w:name="z10" w:id="5"/>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5"/>
    <w:bookmarkStart w:name="z11" w:id="6"/>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7"/>
    <w:bookmarkStart w:name="z14" w:id="8"/>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государственное казначейство уполномоченному органу по исполнению вышестоящего бюджета.";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9"/>
    <w:bookmarkStart w:name="z17" w:id="10"/>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bookmarkEnd w:id="10"/>
    <w:bookmarkStart w:name="z18" w:id="11"/>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"159.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12"/>
    <w:bookmarkStart w:name="z21" w:id="13"/>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13"/>
    <w:bookmarkStart w:name="z22" w:id="14"/>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bookmarkEnd w:id="14"/>
    <w:bookmarkStart w:name="z23" w:id="15"/>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15"/>
    <w:bookmarkStart w:name="z24" w:id="16"/>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"Информационная система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16"/>
    <w:bookmarkStart w:name="z25" w:id="17"/>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7"/>
    <w:bookmarkStart w:name="z26" w:id="18"/>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18"/>
    <w:bookmarkStart w:name="z27" w:id="19"/>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417</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"417. Платежи и (или) переводы денег генерального подрядчика, связанных с приобретением товаров (работ, услуг),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20"/>
    <w:bookmarkStart w:name="z30" w:id="21"/>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электронных счет-фактур в информационную систему "Казначейство-клиент";</w:t>
      </w:r>
    </w:p>
    <w:bookmarkEnd w:id="21"/>
    <w:bookmarkStart w:name="z31" w:id="22"/>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22"/>
    <w:bookmarkStart w:name="z32" w:id="23"/>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 и подписываются электронной цифровой подписью генерального подрядчика и бухгалтера;</w:t>
      </w:r>
    </w:p>
    <w:bookmarkEnd w:id="23"/>
    <w:bookmarkStart w:name="z33" w:id="24"/>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24"/>
    <w:bookmarkStart w:name="z34" w:id="25"/>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25"/>
    <w:bookmarkStart w:name="z35" w:id="26"/>
    <w:p>
      <w:pPr>
        <w:spacing w:after="0"/>
        <w:ind w:left="0"/>
        <w:jc w:val="both"/>
      </w:pPr>
      <w:r>
        <w:rPr>
          <w:rFonts w:ascii="Times New Roman"/>
          <w:b w:val="false"/>
          <w:i w:val="false"/>
          <w:color w:val="000000"/>
          <w:sz w:val="28"/>
        </w:rPr>
        <w:t>
      6) генеральный подрядчик (основной участник консорциума)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26"/>
    <w:bookmarkStart w:name="z36" w:id="27"/>
    <w:p>
      <w:pPr>
        <w:spacing w:after="0"/>
        <w:ind w:left="0"/>
        <w:jc w:val="both"/>
      </w:pPr>
      <w:r>
        <w:rPr>
          <w:rFonts w:ascii="Times New Roman"/>
          <w:b w:val="false"/>
          <w:i w:val="false"/>
          <w:color w:val="000000"/>
          <w:sz w:val="28"/>
        </w:rPr>
        <w:t>
      7) при заполнении платежного поручения генеральным подрядчиком (основным участником консорциума)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8" w:id="2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8"/>
    <w:bookmarkStart w:name="z39" w:id="29"/>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9"/>
    <w:bookmarkStart w:name="z40" w:id="3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0"/>
    <w:bookmarkStart w:name="z41" w:id="3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2025 года № 727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 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47" w:id="32"/>
    <w:p>
      <w:pPr>
        <w:spacing w:after="0"/>
        <w:ind w:left="0"/>
        <w:jc w:val="left"/>
      </w:pPr>
      <w:r>
        <w:rPr>
          <w:rFonts w:ascii="Times New Roman"/>
          <w:b/>
          <w:i w:val="false"/>
          <w:color w:val="000000"/>
        </w:rPr>
        <w:t xml:space="preserve"> Справка № __ о внесении изменений в сводный план поступлений ____ бюджета на основании _______ от "__" _____ __ года</w:t>
      </w:r>
    </w:p>
    <w:bookmarkEnd w:id="32"/>
    <w:bookmarkStart w:name="z48" w:id="33"/>
    <w:p>
      <w:pPr>
        <w:spacing w:after="0"/>
        <w:ind w:left="0"/>
        <w:jc w:val="both"/>
      </w:pPr>
      <w:r>
        <w:rPr>
          <w:rFonts w:ascii="Times New Roman"/>
          <w:b w:val="false"/>
          <w:i w:val="false"/>
          <w:color w:val="000000"/>
          <w:sz w:val="28"/>
        </w:rPr>
        <w:t>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79"/>
        <w:gridCol w:w="379"/>
        <w:gridCol w:w="379"/>
        <w:gridCol w:w="379"/>
        <w:gridCol w:w="2815"/>
        <w:gridCol w:w="915"/>
        <w:gridCol w:w="454"/>
        <w:gridCol w:w="461"/>
        <w:gridCol w:w="454"/>
        <w:gridCol w:w="461"/>
        <w:gridCol w:w="454"/>
        <w:gridCol w:w="461"/>
        <w:gridCol w:w="454"/>
        <w:gridCol w:w="465"/>
        <w:gridCol w:w="455"/>
        <w:gridCol w:w="465"/>
        <w:gridCol w:w="7"/>
        <w:gridCol w:w="917"/>
        <w:gridCol w:w="9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Сумма изменений</w:t>
            </w:r>
            <w:r>
              <w:br/>
            </w:r>
            <w:r>
              <w:rPr>
                <w:rFonts w:ascii="Times New Roman"/>
                <w:b w:val="false"/>
                <w:i w:val="false"/>
                <w:color w:val="000000"/>
                <w:sz w:val="20"/>
              </w:rPr>
              <w:t>
(+, -), всего</w:t>
            </w:r>
          </w:p>
          <w:bookmarkEnd w:id="3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3017"/>
        <w:gridCol w:w="53"/>
        <w:gridCol w:w="3077"/>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6"/>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 </w:t>
      </w:r>
    </w:p>
    <w:bookmarkEnd w:id="36"/>
    <w:bookmarkStart w:name="z52" w:id="37"/>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(подпись)</w:t>
      </w:r>
    </w:p>
    <w:bookmarkEnd w:id="37"/>
    <w:bookmarkStart w:name="z53" w:id="38"/>
    <w:p>
      <w:pPr>
        <w:spacing w:after="0"/>
        <w:ind w:left="0"/>
        <w:jc w:val="both"/>
      </w:pPr>
      <w:r>
        <w:rPr>
          <w:rFonts w:ascii="Times New Roman"/>
          <w:b w:val="false"/>
          <w:i w:val="false"/>
          <w:color w:val="000000"/>
          <w:sz w:val="28"/>
        </w:rPr>
        <w:t xml:space="preserve">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 </w:t>
      </w:r>
    </w:p>
    <w:bookmarkEnd w:id="38"/>
    <w:bookmarkStart w:name="z54" w:id="39"/>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(подпись)</w:t>
      </w:r>
    </w:p>
    <w:bookmarkEnd w:id="39"/>
    <w:bookmarkStart w:name="z55" w:id="40"/>
    <w:p>
      <w:pPr>
        <w:spacing w:after="0"/>
        <w:ind w:left="0"/>
        <w:jc w:val="both"/>
      </w:pPr>
      <w:r>
        <w:rPr>
          <w:rFonts w:ascii="Times New Roman"/>
          <w:b w:val="false"/>
          <w:i w:val="false"/>
          <w:color w:val="000000"/>
          <w:sz w:val="28"/>
        </w:rPr>
        <w:t>
      Справка – в двух экземплярах.</w:t>
      </w:r>
    </w:p>
    <w:bookmarkEnd w:id="40"/>
    <w:bookmarkStart w:name="z56" w:id="41"/>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