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d103" w14:textId="9ead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30 мая 2025 года № 272 "Об утверждении Правил исполнения бюджета и его кассового обслуживания на 2025 финансовый год"</w:t>
      </w:r>
    </w:p>
    <w:p>
      <w:pPr>
        <w:spacing w:after="0"/>
        <w:ind w:left="0"/>
        <w:jc w:val="both"/>
      </w:pPr>
      <w:r>
        <w:rPr>
          <w:rFonts w:ascii="Times New Roman"/>
          <w:b w:val="false"/>
          <w:i w:val="false"/>
          <w:color w:val="000000"/>
          <w:sz w:val="28"/>
        </w:rPr>
        <w:t>Приказ Министра финансов Республики Казахстан от 26 ноября 2025 года № 727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на 2025 финансовый год,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"31.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w:t>
      </w:r>
      <w:r>
        <w:rPr>
          <w:rFonts w:ascii="Times New Roman"/>
          <w:b w:val="false"/>
          <w:i w:val="false"/>
          <w:color w:val="000000"/>
          <w:sz w:val="28"/>
        </w:rPr>
        <w:t>Бюджетным кодексом</w:t>
      </w:r>
      <w:r>
        <w:rPr>
          <w:rFonts w:ascii="Times New Roman"/>
          <w:b w:val="false"/>
          <w:i w:val="false"/>
          <w:color w:val="000000"/>
          <w:sz w:val="28"/>
        </w:rPr>
        <w:t>, а также при изменении обязательств по погашению правительственного долга, связанных с изменением курсовой разницы,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w:t>
      </w:r>
    </w:p>
    <w:bookmarkEnd w:id="3"/>
    <w:bookmarkStart w:name="z9" w:id="4"/>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государственным казначейством, местным уполномоченным органом по исполнению бюджета, аппаратом акима города районного значения, села, поселка, сельского округа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на следующий рабочий день после 25 числа, текущего месяца.</w:t>
      </w:r>
    </w:p>
    <w:bookmarkEnd w:id="4"/>
    <w:bookmarkStart w:name="z10" w:id="5"/>
    <w:p>
      <w:pPr>
        <w:spacing w:after="0"/>
        <w:ind w:left="0"/>
        <w:jc w:val="both"/>
      </w:pPr>
      <w:r>
        <w:rPr>
          <w:rFonts w:ascii="Times New Roman"/>
          <w:b w:val="false"/>
          <w:i w:val="false"/>
          <w:color w:val="000000"/>
          <w:sz w:val="28"/>
        </w:rPr>
        <w:t>
      Внесение изменений и дополнений в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единой бюджетной классификацией Республики Казахстан формируемыми администраторами бюджетных программ на основании полученных от государственных учреждений заявок на 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w:t>
      </w:r>
    </w:p>
    <w:bookmarkEnd w:id="5"/>
    <w:bookmarkStart w:name="z11" w:id="6"/>
    <w:p>
      <w:pPr>
        <w:spacing w:after="0"/>
        <w:ind w:left="0"/>
        <w:jc w:val="both"/>
      </w:pPr>
      <w:r>
        <w:rPr>
          <w:rFonts w:ascii="Times New Roman"/>
          <w:b w:val="false"/>
          <w:i w:val="false"/>
          <w:color w:val="000000"/>
          <w:sz w:val="28"/>
        </w:rPr>
        <w:t xml:space="preserve">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"41. Заявка администратора бюджетных программ по 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предусмотренной по бюджетной программе (подпрограмме), за исключением случаев изменения обязательств по погашению правительственного долга, связанных с изменением курсовой разницы.</w:t>
      </w:r>
    </w:p>
    <w:bookmarkEnd w:id="7"/>
    <w:bookmarkStart w:name="z14" w:id="8"/>
    <w:p>
      <w:pPr>
        <w:spacing w:after="0"/>
        <w:ind w:left="0"/>
        <w:jc w:val="both"/>
      </w:pP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предоставляет в порядке, установленном настоящей главой, заявку государственное казначейство уполномоченному органу по исполнению вышестоящего бюджета.";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"50.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города районного значения, села, поселка, сельского округа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9"/>
    <w:bookmarkStart w:name="z17" w:id="10"/>
    <w:p>
      <w:pPr>
        <w:spacing w:after="0"/>
        <w:ind w:left="0"/>
        <w:jc w:val="both"/>
      </w:pPr>
      <w:r>
        <w:rPr>
          <w:rFonts w:ascii="Times New Roman"/>
          <w:b w:val="false"/>
          <w:i w:val="false"/>
          <w:color w:val="000000"/>
          <w:sz w:val="28"/>
        </w:rPr>
        <w:t>
      Изменение годовых сумм прогноза поступлений на текущий финансовый год допускается только при уточнении бюджета на текущий финансовый год, за исключением случаев изменения обязательств по погашению правительственного долга, связанных с изменением курсовой разницы.</w:t>
      </w:r>
    </w:p>
    <w:bookmarkEnd w:id="10"/>
    <w:bookmarkStart w:name="z18" w:id="11"/>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 вышестоящий бюджет,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города районного значения, села, поселка, сельского округа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"159.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Республики Казахстан осуществляется органами государственного казначейства.</w:t>
      </w:r>
    </w:p>
    <w:bookmarkEnd w:id="12"/>
    <w:bookmarkStart w:name="z21" w:id="13"/>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bookmarkEnd w:id="13"/>
    <w:bookmarkStart w:name="z22" w:id="14"/>
    <w:p>
      <w:pPr>
        <w:spacing w:after="0"/>
        <w:ind w:left="0"/>
        <w:jc w:val="both"/>
      </w:pPr>
      <w:r>
        <w:rPr>
          <w:rFonts w:ascii="Times New Roman"/>
          <w:b w:val="false"/>
          <w:i w:val="false"/>
          <w:color w:val="000000"/>
          <w:sz w:val="28"/>
        </w:rPr>
        <w:t>
      Возврат излишне (ошибочно) уплаченных сумм поступлений осуществляется после исполнения всех плановых обязательств по расходам республиканского бюджета.</w:t>
      </w:r>
    </w:p>
    <w:bookmarkEnd w:id="14"/>
    <w:bookmarkStart w:name="z23" w:id="15"/>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информационной системе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(далее – Постановление № 208), подписанного электронной цифровой подписью руководителя органа государственных доходов или уполномоченного им лица, и уполномоченного сотрудника органа государственных доходов.</w:t>
      </w:r>
    </w:p>
    <w:bookmarkEnd w:id="15"/>
    <w:bookmarkStart w:name="z24" w:id="16"/>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"Информационная система налогового администрирования" Комитета государственных доходов в информационные системы Комитета государственного казначейства посредством интеграционной шины "Информационная система налогового администрирования" территориальные органы государственных доходов направляют электронные реестры платежных поручений, заверенные электронной цифровой подписью.</w:t>
      </w:r>
    </w:p>
    <w:bookmarkEnd w:id="16"/>
    <w:bookmarkStart w:name="z25" w:id="17"/>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информационной системе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17"/>
    <w:bookmarkStart w:name="z26" w:id="18"/>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bookmarkEnd w:id="18"/>
    <w:bookmarkStart w:name="z27" w:id="19"/>
    <w:p>
      <w:pPr>
        <w:spacing w:after="0"/>
        <w:ind w:left="0"/>
        <w:jc w:val="both"/>
      </w:pPr>
      <w:r>
        <w:rPr>
          <w:rFonts w:ascii="Times New Roman"/>
          <w:b w:val="false"/>
          <w:i w:val="false"/>
          <w:color w:val="000000"/>
          <w:sz w:val="28"/>
        </w:rPr>
        <w:t>
      Орган государственного казначейства осуществляет прием платежных поручений, поступивших от органов государственных доходов по информационной системе "Казначейство-клиент", в течение рабочего дня до 16.00 (шестнадцать) часов. Документы, поступившие после 16.00 (шестнадцать) часов, исполняются либо возвращаются без исполнения не позднее следующего рабочего дня.";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417</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"417. Платежи и (или) переводы денег генерального подрядчика, связанных с приобретением товаров (работ, услуг), проводятся в пределах остатков денег, находящихся на контрольном счете наличности государственных закупок, путем формирования генеральным подрядчиком платежного поручения по форме, установленной постановлением № 208, при соблюдении следующих условий:</w:t>
      </w:r>
    </w:p>
    <w:bookmarkEnd w:id="20"/>
    <w:bookmarkStart w:name="z30" w:id="21"/>
    <w:p>
      <w:pPr>
        <w:spacing w:after="0"/>
        <w:ind w:left="0"/>
        <w:jc w:val="both"/>
      </w:pPr>
      <w:r>
        <w:rPr>
          <w:rFonts w:ascii="Times New Roman"/>
          <w:b w:val="false"/>
          <w:i w:val="false"/>
          <w:color w:val="000000"/>
          <w:sz w:val="28"/>
        </w:rPr>
        <w:t>
      1) основанием для формирования генеральным подрядчиком платежного поручения является платежный сертификат (при обслуживании по информационной системе "Казначейство-клиент" предоставляется сканированный образ с оригинала), электронная счет-фактура, интегрированная из информационной системы электронных счет-фактур в информационную систему "Казначейство-клиент";</w:t>
      </w:r>
    </w:p>
    <w:bookmarkEnd w:id="21"/>
    <w:bookmarkStart w:name="z31" w:id="22"/>
    <w:p>
      <w:pPr>
        <w:spacing w:after="0"/>
        <w:ind w:left="0"/>
        <w:jc w:val="both"/>
      </w:pPr>
      <w:r>
        <w:rPr>
          <w:rFonts w:ascii="Times New Roman"/>
          <w:b w:val="false"/>
          <w:i w:val="false"/>
          <w:color w:val="000000"/>
          <w:sz w:val="28"/>
        </w:rPr>
        <w:t>
      2) возмещение текущих затрат, произведенных за счет собственных средств генерального подрядчика с контрольного счета наличности государственных закупок, открытого в государственном казначействе, на счета генерального подрядчика, открытые в банках второго уровня, не допускается;</w:t>
      </w:r>
    </w:p>
    <w:bookmarkEnd w:id="22"/>
    <w:bookmarkStart w:name="z32" w:id="23"/>
    <w:p>
      <w:pPr>
        <w:spacing w:after="0"/>
        <w:ind w:left="0"/>
        <w:jc w:val="both"/>
      </w:pPr>
      <w:r>
        <w:rPr>
          <w:rFonts w:ascii="Times New Roman"/>
          <w:b w:val="false"/>
          <w:i w:val="false"/>
          <w:color w:val="000000"/>
          <w:sz w:val="28"/>
        </w:rPr>
        <w:t xml:space="preserve">
      3) для проведения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по информационной системе "Казначейство-клиент"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 и подписываются электронной цифровой подписью генерального подрядчика и бухгалтера;</w:t>
      </w:r>
    </w:p>
    <w:bookmarkEnd w:id="23"/>
    <w:bookmarkStart w:name="z33" w:id="24"/>
    <w:p>
      <w:pPr>
        <w:spacing w:after="0"/>
        <w:ind w:left="0"/>
        <w:jc w:val="both"/>
      </w:pPr>
      <w:r>
        <w:rPr>
          <w:rFonts w:ascii="Times New Roman"/>
          <w:b w:val="false"/>
          <w:i w:val="false"/>
          <w:color w:val="000000"/>
          <w:sz w:val="28"/>
        </w:rPr>
        <w:t>
      4)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w:t>
      </w:r>
    </w:p>
    <w:bookmarkEnd w:id="24"/>
    <w:bookmarkStart w:name="z34" w:id="25"/>
    <w:p>
      <w:pPr>
        <w:spacing w:after="0"/>
        <w:ind w:left="0"/>
        <w:jc w:val="both"/>
      </w:pPr>
      <w:r>
        <w:rPr>
          <w:rFonts w:ascii="Times New Roman"/>
          <w:b w:val="false"/>
          <w:i w:val="false"/>
          <w:color w:val="000000"/>
          <w:sz w:val="28"/>
        </w:rPr>
        <w:t>
      5) перечисление генеральным подрядчиком (основным участником консорциума) авансовой (предварительной) оплаты с контрольного счета наличности государственных закупок, открытого в государственном казначействе на счета субподрядчиков (участников консорциума) и (или) поставщиков, открытые в банках второго уровня, осуществляется на основании платежного сертификата;</w:t>
      </w:r>
    </w:p>
    <w:bookmarkEnd w:id="25"/>
    <w:bookmarkStart w:name="z35" w:id="26"/>
    <w:p>
      <w:pPr>
        <w:spacing w:after="0"/>
        <w:ind w:left="0"/>
        <w:jc w:val="both"/>
      </w:pPr>
      <w:r>
        <w:rPr>
          <w:rFonts w:ascii="Times New Roman"/>
          <w:b w:val="false"/>
          <w:i w:val="false"/>
          <w:color w:val="000000"/>
          <w:sz w:val="28"/>
        </w:rPr>
        <w:t>
      6) генеральный подрядчик (основной участник консорциума) обеспечивает предоставление в орган государственного казначейства платежного поручения с приложением документов, указанных в настоящем пункте.</w:t>
      </w:r>
    </w:p>
    <w:bookmarkEnd w:id="26"/>
    <w:bookmarkStart w:name="z36" w:id="27"/>
    <w:p>
      <w:pPr>
        <w:spacing w:after="0"/>
        <w:ind w:left="0"/>
        <w:jc w:val="both"/>
      </w:pPr>
      <w:r>
        <w:rPr>
          <w:rFonts w:ascii="Times New Roman"/>
          <w:b w:val="false"/>
          <w:i w:val="false"/>
          <w:color w:val="000000"/>
          <w:sz w:val="28"/>
        </w:rPr>
        <w:t>
      7) при заполнении платежного поручения генеральным подрядчиком (основным участником консорциума)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8" w:id="2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8"/>
    <w:bookmarkStart w:name="z39" w:id="29"/>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9"/>
    <w:bookmarkStart w:name="z40" w:id="3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0"/>
    <w:bookmarkStart w:name="z41" w:id="3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2025 года № 727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центрального/местного</w:t>
            </w:r>
            <w:r>
              <w:br/>
            </w:r>
            <w:r>
              <w:rPr>
                <w:rFonts w:ascii="Times New Roman"/>
                <w:b w:val="false"/>
                <w:i w:val="false"/>
                <w:color w:val="000000"/>
                <w:sz w:val="20"/>
              </w:rPr>
              <w:t>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 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47" w:id="32"/>
    <w:p>
      <w:pPr>
        <w:spacing w:after="0"/>
        <w:ind w:left="0"/>
        <w:jc w:val="left"/>
      </w:pPr>
      <w:r>
        <w:rPr>
          <w:rFonts w:ascii="Times New Roman"/>
          <w:b/>
          <w:i w:val="false"/>
          <w:color w:val="000000"/>
        </w:rPr>
        <w:t xml:space="preserve"> Справка № __ о внесении изменений в сводный план поступлений ____ бюджета на основании _______ от "__" _____ __ года</w:t>
      </w:r>
    </w:p>
    <w:bookmarkEnd w:id="32"/>
    <w:bookmarkStart w:name="z48" w:id="33"/>
    <w:p>
      <w:pPr>
        <w:spacing w:after="0"/>
        <w:ind w:left="0"/>
        <w:jc w:val="both"/>
      </w:pPr>
      <w:r>
        <w:rPr>
          <w:rFonts w:ascii="Times New Roman"/>
          <w:b w:val="false"/>
          <w:i w:val="false"/>
          <w:color w:val="000000"/>
          <w:sz w:val="28"/>
        </w:rPr>
        <w:t>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79"/>
        <w:gridCol w:w="379"/>
        <w:gridCol w:w="379"/>
        <w:gridCol w:w="379"/>
        <w:gridCol w:w="2815"/>
        <w:gridCol w:w="915"/>
        <w:gridCol w:w="454"/>
        <w:gridCol w:w="461"/>
        <w:gridCol w:w="454"/>
        <w:gridCol w:w="461"/>
        <w:gridCol w:w="454"/>
        <w:gridCol w:w="461"/>
        <w:gridCol w:w="454"/>
        <w:gridCol w:w="465"/>
        <w:gridCol w:w="455"/>
        <w:gridCol w:w="465"/>
        <w:gridCol w:w="7"/>
        <w:gridCol w:w="917"/>
        <w:gridCol w:w="9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Сумма изменений</w:t>
            </w:r>
            <w:r>
              <w:br/>
            </w:r>
            <w:r>
              <w:rPr>
                <w:rFonts w:ascii="Times New Roman"/>
                <w:b w:val="false"/>
                <w:i w:val="false"/>
                <w:color w:val="000000"/>
                <w:sz w:val="20"/>
              </w:rPr>
              <w:t>
(+, -), всего</w:t>
            </w:r>
          </w:p>
          <w:bookmarkEnd w:id="3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3017"/>
        <w:gridCol w:w="53"/>
        <w:gridCol w:w="3077"/>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6"/>
    <w:p>
      <w:pPr>
        <w:spacing w:after="0"/>
        <w:ind w:left="0"/>
        <w:jc w:val="both"/>
      </w:pPr>
      <w:r>
        <w:rPr>
          <w:rFonts w:ascii="Times New Roman"/>
          <w:b w:val="false"/>
          <w:i w:val="false"/>
          <w:color w:val="000000"/>
          <w:sz w:val="28"/>
        </w:rPr>
        <w:t xml:space="preserve">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 </w:t>
      </w:r>
    </w:p>
    <w:bookmarkEnd w:id="36"/>
    <w:bookmarkStart w:name="z52" w:id="37"/>
    <w:p>
      <w:pPr>
        <w:spacing w:after="0"/>
        <w:ind w:left="0"/>
        <w:jc w:val="both"/>
      </w:pPr>
      <w:r>
        <w:rPr>
          <w:rFonts w:ascii="Times New Roman"/>
          <w:b w:val="false"/>
          <w:i w:val="false"/>
          <w:color w:val="000000"/>
          <w:sz w:val="28"/>
        </w:rPr>
        <w:t xml:space="preserve">
      _______________ </w:t>
      </w:r>
      <w:r>
        <w:br/>
      </w:r>
      <w:r>
        <w:rPr>
          <w:rFonts w:ascii="Times New Roman"/>
          <w:b w:val="false"/>
          <w:i w:val="false"/>
          <w:color w:val="000000"/>
          <w:sz w:val="28"/>
        </w:rPr>
        <w:t xml:space="preserve">       (подпись)</w:t>
      </w:r>
    </w:p>
    <w:bookmarkEnd w:id="37"/>
    <w:bookmarkStart w:name="z53" w:id="38"/>
    <w:p>
      <w:pPr>
        <w:spacing w:after="0"/>
        <w:ind w:left="0"/>
        <w:jc w:val="both"/>
      </w:pPr>
      <w:r>
        <w:rPr>
          <w:rFonts w:ascii="Times New Roman"/>
          <w:b w:val="false"/>
          <w:i w:val="false"/>
          <w:color w:val="000000"/>
          <w:sz w:val="28"/>
        </w:rPr>
        <w:t xml:space="preserve">
      Руководитель структурного подразделения центрального/местного уполномоченного органа по исполнению бюджета, ответственного за составление плана поступлений </w:t>
      </w:r>
    </w:p>
    <w:bookmarkEnd w:id="38"/>
    <w:bookmarkStart w:name="z54" w:id="39"/>
    <w:p>
      <w:pPr>
        <w:spacing w:after="0"/>
        <w:ind w:left="0"/>
        <w:jc w:val="both"/>
      </w:pPr>
      <w:r>
        <w:rPr>
          <w:rFonts w:ascii="Times New Roman"/>
          <w:b w:val="false"/>
          <w:i w:val="false"/>
          <w:color w:val="000000"/>
          <w:sz w:val="28"/>
        </w:rPr>
        <w:t xml:space="preserve">
      _______________  </w:t>
      </w:r>
      <w:r>
        <w:br/>
      </w:r>
      <w:r>
        <w:rPr>
          <w:rFonts w:ascii="Times New Roman"/>
          <w:b w:val="false"/>
          <w:i w:val="false"/>
          <w:color w:val="000000"/>
          <w:sz w:val="28"/>
        </w:rPr>
        <w:t xml:space="preserve">       (подпись)</w:t>
      </w:r>
    </w:p>
    <w:bookmarkEnd w:id="39"/>
    <w:bookmarkStart w:name="z55" w:id="40"/>
    <w:p>
      <w:pPr>
        <w:spacing w:after="0"/>
        <w:ind w:left="0"/>
        <w:jc w:val="both"/>
      </w:pPr>
      <w:r>
        <w:rPr>
          <w:rFonts w:ascii="Times New Roman"/>
          <w:b w:val="false"/>
          <w:i w:val="false"/>
          <w:color w:val="000000"/>
          <w:sz w:val="28"/>
        </w:rPr>
        <w:t>
      Справка – в двух экземплярах.</w:t>
      </w:r>
    </w:p>
    <w:bookmarkEnd w:id="40"/>
    <w:bookmarkStart w:name="z56" w:id="41"/>
    <w:p>
      <w:pPr>
        <w:spacing w:after="0"/>
        <w:ind w:left="0"/>
        <w:jc w:val="both"/>
      </w:pPr>
      <w:r>
        <w:rPr>
          <w:rFonts w:ascii="Times New Roman"/>
          <w:b w:val="false"/>
          <w:i w:val="false"/>
          <w:color w:val="000000"/>
          <w:sz w:val="28"/>
        </w:rPr>
        <w:t>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предоставляется уполномоченным органом по исполнению бюджета вышестоящего уровня уполномоченному органу по исполнению бюджета нижестоящего уровня.</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