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2aa7" w14:textId="ced2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both"/>
      </w:pPr>
      <w:r>
        <w:rPr>
          <w:rFonts w:ascii="Times New Roman"/>
          <w:b w:val="false"/>
          <w:i w:val="false"/>
          <w:color w:val="000000"/>
          <w:sz w:val="28"/>
        </w:rPr>
        <w:t>Приказ Министра финансов Республики Казахстан от 20 мая 2025 года № 242.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1"/>
    <w:bookmarkStart w:name="z6"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242</w:t>
            </w:r>
          </w:p>
        </w:tc>
      </w:tr>
    </w:tbl>
    <w:bookmarkStart w:name="z12" w:id="6"/>
    <w:p>
      <w:pPr>
        <w:spacing w:after="0"/>
        <w:ind w:left="0"/>
        <w:jc w:val="left"/>
      </w:pPr>
      <w:r>
        <w:rPr>
          <w:rFonts w:ascii="Times New Roman"/>
          <w:b/>
          <w:i w:val="false"/>
          <w:color w:val="000000"/>
        </w:rPr>
        <w:t xml:space="preserve">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финансов РК от 03.03.2026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 требующие обязательной регистрации гражданско- правовой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обязательное страхование гражданско-правовой ответственности владельцев транспортных средств, на обязательное страхование гражданско-правовой ответственности перевозчика перед пассажирами, на государственное обязательное личное страхование работников государственных учреждений, установленных действующими законодательными актами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хранение продуктов питания государственными учреждениями для собственного использования; специальное питание; питание животных;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статьей 44 Закона Республики Казахстан "О воинской службе и статусе военнослужащих", а также осужденных, подозреваемых и обвиняемых в совершении преступлений; 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Законом Республики Казахстан "О специальных государственных органах Республики Казахстан"; 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питании учащихся школы-интерната для одаренных в спорте детей в период каникул и нахождения их на учебно-тренировочных сборах;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перевязочных средств, медицинских инструментов и прочих изделий медицинского назначения одноразового и многоразового использования, приобретение крови, биопрепаратов, а также приобретение ветеринарных препаратов, атрибутов и изделий ветеринарного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Выплаты денежной компенсации донору производится без заключения гражданско-правовой сделки.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пошив и ремонт предметов вещевого имущества и другого форменного и специального обмундирования, предусмотренные законодательством Республики Казахстан, форменного и специального обмундирования.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При выплате денежной компенсации взамен приобретения вещевого имущества, форменного и специального обмундирования гражданско-правовые сделки на поставку товаров (работ и услуг) не заключаются.</w:t>
            </w:r>
          </w:p>
          <w:bookmarkEnd w:id="10"/>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топлива, горюче-смазочных материалов, включая затраты на приобретение, перевозку, погрузку, разгрузку и хранение топлива всех видов.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оплату расходов, связанных с оплатой стоимости горюче-смазочных материалов,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оплате расходов, связанных с оплатой стоимости горюче-смазочных материалов,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государственных учреждений, связанных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подпунктом 4) статьи 8 Закона Республики Казахстан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Затраты на приобретение материалов и других запасов, не предусмотренных по спецификам 141, 142, 143 и 144.</w:t>
            </w:r>
          </w:p>
          <w:bookmarkEnd w:id="12"/>
          <w:p>
            <w:pPr>
              <w:spacing w:after="20"/>
              <w:ind w:left="20"/>
              <w:jc w:val="both"/>
            </w:pPr>
            <w:r>
              <w:rPr>
                <w:rFonts w:ascii="Times New Roman"/>
                <w:b w:val="false"/>
                <w:i w:val="false"/>
                <w:color w:val="000000"/>
                <w:sz w:val="20"/>
              </w:rPr>
              <w:t>
Также по данной специфике отражаются затраты на приобретение предметов и материалов военного назначения.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Абонентная плата за телефоны;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5"/>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 транспорта; оплата за перевозку оборудования, материалов, специального контингента, вооружения, военной техники, призывников и прочие перевозки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исследований (в том числе социологические, аналитические и научные исследования)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перечислении сумм по заключенному Соглашению о софинансировании между Структурой организации объединенных наций по вопросам гендерного равенства и расширения прав и возможностей женщин и Министерством национальной экономики Республики Казахстан по подпрограмме "За счет софинансирования гранта из республиканского бюджета"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национальной экономики Республики Казахстан.</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 оказываемых неправительственными организациями по социальным программам и проектам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18"/>
          <w:p>
            <w:pPr>
              <w:spacing w:after="20"/>
              <w:ind w:left="20"/>
              <w:jc w:val="both"/>
            </w:pPr>
            <w:r>
              <w:rPr>
                <w:rFonts w:ascii="Times New Roman"/>
                <w:b w:val="false"/>
                <w:i w:val="false"/>
                <w:color w:val="000000"/>
                <w:sz w:val="20"/>
              </w:rPr>
              <w:t>
при перечислении сумм на счета загранучреждений Республики Казахстан по бюджетной программе "Проведение текущих мероприятий за счет резерва Правительства Республики Казахстан на неотложные затраты"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 связанные с повышением имиджа государственного органа, например, подготовка брошюр и (или) видеороликов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сумма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бюджетным программам "Услуги по координации внешнеполитической деятельности", "Представительские затраты", "Обеспечение реализации информационно-имиджевой политики"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и услуги, определенные уполномоченным органом в сфере информатизации в соответствии с приказом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xml:space="preserve">
Оплата услуг, работ, оказываемых юридическими и физическими лицами, не отражаемых в спецификах 151, 152, 153, 154, 155, 156, 157 и 158, в том числе: услуги по содержанию, обслуживанию зданий, помещений, оборудования, транспортных и других основных средств; текущий ремонт зданий, помещений, системы теплоснабжения, водоснабжения и канализации, находящихся в республиканской или коммунальной собственности, а также текущий ремонт оборудования, транспортных и других основных средств. </w:t>
            </w:r>
          </w:p>
          <w:bookmarkEnd w:id="21"/>
          <w:p>
            <w:pPr>
              <w:spacing w:after="20"/>
              <w:ind w:left="20"/>
              <w:jc w:val="both"/>
            </w:pPr>
            <w:r>
              <w:rPr>
                <w:rFonts w:ascii="Times New Roman"/>
                <w:b w:val="false"/>
                <w:i w:val="false"/>
                <w:color w:val="000000"/>
                <w:sz w:val="20"/>
              </w:rPr>
              <w:t xml:space="preserve">
Приобретение товаров, материалов необходимых для обслуживания и содержания зданий, помещений, транспортных и других основных средств и их текущим ремонтом отражаются по специфике 149 "Приобретение прочих запасов", за исключением случаев, когда в стоимость услуг, работ, оказываемых юридическими и физическими лицами, входит приобретение товаров, материалов. В данных случаях приобретение товаров, материалов осуществляется по специфике 159 "Оплата прочих услуг и работ". </w:t>
            </w:r>
          </w:p>
          <w:p>
            <w:pPr>
              <w:spacing w:after="20"/>
              <w:ind w:left="20"/>
              <w:jc w:val="both"/>
            </w:pPr>
            <w:r>
              <w:rPr>
                <w:rFonts w:ascii="Times New Roman"/>
                <w:b w:val="false"/>
                <w:i w:val="false"/>
                <w:color w:val="000000"/>
                <w:sz w:val="20"/>
              </w:rPr>
              <w:t>
По данной специфике отражается плата за аренду помещений, зданий.</w:t>
            </w:r>
          </w:p>
          <w:p>
            <w:pPr>
              <w:spacing w:after="20"/>
              <w:ind w:left="20"/>
              <w:jc w:val="both"/>
            </w:pPr>
            <w:r>
              <w:rPr>
                <w:rFonts w:ascii="Times New Roman"/>
                <w:b w:val="false"/>
                <w:i w:val="false"/>
                <w:color w:val="000000"/>
                <w:sz w:val="20"/>
              </w:rPr>
              <w:t xml:space="preserve">
Затраты на содержание арендуемого помещения, здания, коммунальные услуги, затраты на электроэнергию, отопление классифицируются по соответствующим спецификам. </w:t>
            </w:r>
          </w:p>
          <w:p>
            <w:pPr>
              <w:spacing w:after="20"/>
              <w:ind w:left="20"/>
              <w:jc w:val="both"/>
            </w:pPr>
            <w:r>
              <w:rPr>
                <w:rFonts w:ascii="Times New Roman"/>
                <w:b w:val="false"/>
                <w:i w:val="false"/>
                <w:color w:val="000000"/>
                <w:sz w:val="20"/>
              </w:rPr>
              <w:t xml:space="preserve">
По данной специфике отражается оплата услуг оценщиков. </w:t>
            </w:r>
          </w:p>
          <w:p>
            <w:pPr>
              <w:spacing w:after="20"/>
              <w:ind w:left="20"/>
              <w:jc w:val="both"/>
            </w:pPr>
            <w:r>
              <w:rPr>
                <w:rFonts w:ascii="Times New Roman"/>
                <w:b w:val="false"/>
                <w:i w:val="false"/>
                <w:color w:val="000000"/>
                <w:sz w:val="20"/>
              </w:rPr>
              <w:t>
По данной специфике также осуществляется перечисление удержаний, предусмотренных законодательством Республики Казахстан, с сумм, подлежащих оплате физическим лицам, за оказанные ими услуги и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22"/>
          <w:p>
            <w:pPr>
              <w:spacing w:after="20"/>
              <w:ind w:left="20"/>
              <w:jc w:val="both"/>
            </w:pPr>
            <w:r>
              <w:rPr>
                <w:rFonts w:ascii="Times New Roman"/>
                <w:b w:val="false"/>
                <w:i w:val="false"/>
                <w:color w:val="000000"/>
                <w:sz w:val="20"/>
              </w:rPr>
              <w:t>
при оплате банковских услуг;</w:t>
            </w:r>
          </w:p>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"Методологическое обеспечение в сфере дошкольного образования",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по бюджетной программе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по бюджетной программе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подпрограмме "За счет софинансирования гранта из республиканского бюджета"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по подпрограммам "За счет софинансирования гранта из республиканского бюджета" и "За счет гранта" бюджетной программы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администратором которой является Агентство по стратегическому планированию и реформам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статистической системы", администратором которой является Агентство по стратегическому планированию и реформам Республики Казахстан, при перечислении сумм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текущих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за рубежом"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w:t>
            </w:r>
          </w:p>
          <w:p>
            <w:pPr>
              <w:spacing w:after="20"/>
              <w:ind w:left="20"/>
              <w:jc w:val="both"/>
            </w:pPr>
            <w:r>
              <w:rPr>
                <w:rFonts w:ascii="Times New Roman"/>
                <w:b w:val="false"/>
                <w:i w:val="false"/>
                <w:color w:val="000000"/>
                <w:sz w:val="20"/>
              </w:rPr>
              <w:t>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w:t>
            </w:r>
          </w:p>
          <w:p>
            <w:pPr>
              <w:spacing w:after="20"/>
              <w:ind w:left="20"/>
              <w:jc w:val="both"/>
            </w:pPr>
            <w:r>
              <w:rPr>
                <w:rFonts w:ascii="Times New Roman"/>
                <w:b w:val="false"/>
                <w:i w:val="false"/>
                <w:color w:val="000000"/>
                <w:sz w:val="20"/>
              </w:rPr>
              <w:t>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p>
            <w:pPr>
              <w:spacing w:after="20"/>
              <w:ind w:left="20"/>
              <w:jc w:val="both"/>
            </w:pPr>
            <w:r>
              <w:rPr>
                <w:rFonts w:ascii="Times New Roman"/>
                <w:b w:val="false"/>
                <w:i w:val="false"/>
                <w:color w:val="000000"/>
                <w:sz w:val="20"/>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p>
            <w:pPr>
              <w:spacing w:after="20"/>
              <w:ind w:left="20"/>
              <w:jc w:val="both"/>
            </w:pPr>
            <w:r>
              <w:rPr>
                <w:rFonts w:ascii="Times New Roman"/>
                <w:b w:val="false"/>
                <w:i w:val="false"/>
                <w:color w:val="000000"/>
                <w:sz w:val="20"/>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одежды, обуви, учебников, учебных пособий, школьно-письменных принадлежностей; обеспечение питания в школах; приобретение путевок в санаторно-курортные учреждения и лагеря отдыха.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xml:space="preserve">
Кроме гражданско- правовых сделок на поставку товаров (работ и услуг):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оказании денежной помощи;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финансовом обеспечении участия в культурно-массовых и спортивных мероприятиях школьников.</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данной специфике отражаются затраты по предоставлению образовательного гранта.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основного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4"/>
          <w:p>
            <w:pPr>
              <w:spacing w:after="20"/>
              <w:ind w:left="20"/>
              <w:jc w:val="both"/>
            </w:pPr>
            <w:r>
              <w:rPr>
                <w:rFonts w:ascii="Times New Roman"/>
                <w:b w:val="false"/>
                <w:i w:val="false"/>
                <w:color w:val="000000"/>
                <w:sz w:val="20"/>
              </w:rPr>
              <w:t xml:space="preserve">
Затраты на приобретение любого вида земли, лесов, внутренних вод и месторождений полезных ископаемых государством.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w:t>
            </w:r>
          </w:p>
          <w:p>
            <w:pPr>
              <w:spacing w:after="20"/>
              <w:ind w:left="20"/>
              <w:jc w:val="both"/>
            </w:pPr>
            <w:r>
              <w:rPr>
                <w:rFonts w:ascii="Times New Roman"/>
                <w:b w:val="false"/>
                <w:i w:val="false"/>
                <w:color w:val="000000"/>
                <w:sz w:val="20"/>
              </w:rPr>
              <w:t>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Кроме гражданско-правовых сделок на поставку товаров (работ и услуг):</w:t>
            </w:r>
          </w:p>
          <w:bookmarkEnd w:id="25"/>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подпрограммам "Строительство объектов недвижимости за рубежом для размещения дипломатических представительств Республики Казахстан" и "Капитальные расходы дипломатических представительств Республики Казахстан за рубежом" бюджетной программы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и сооружений, передаточных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6"/>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 Также по данной специфике отражаются затраты на приобретение транспортных средств военного назначения.</w:t>
            </w:r>
          </w:p>
          <w:p>
            <w:pPr>
              <w:spacing w:after="20"/>
              <w:ind w:left="20"/>
              <w:jc w:val="both"/>
            </w:pPr>
            <w:r>
              <w:rPr>
                <w:rFonts w:ascii="Times New Roman"/>
                <w:b w:val="false"/>
                <w:i w:val="false"/>
                <w:color w:val="000000"/>
                <w:sz w:val="20"/>
              </w:rPr>
              <w:t>
Затраты на приобретение транспортных средств по услугам лизинга классифицируются по специфике 159 "Оплата прочих услуг и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27"/>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инструментов, производственного и хозяйственного инвентаря. Также по данной специфике отражаются затраты на приобретение оборудования военного назначения.</w:t>
            </w:r>
          </w:p>
          <w:p>
            <w:pPr>
              <w:spacing w:after="20"/>
              <w:ind w:left="20"/>
              <w:jc w:val="both"/>
            </w:pPr>
            <w:r>
              <w:rPr>
                <w:rFonts w:ascii="Times New Roman"/>
                <w:b w:val="false"/>
                <w:i w:val="false"/>
                <w:color w:val="000000"/>
                <w:sz w:val="20"/>
              </w:rPr>
              <w:t>
Затраты на приобретение машин и оборудования по услугам лизинга классифицируются по специфике 159 "Оплата прочих услуг и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нематериальных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9"/>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w:t>
            </w:r>
          </w:p>
          <w:bookmarkEnd w:id="29"/>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биологических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основных средств, не отраженных по спецификам 411, 412, 413 и 414.</w:t>
            </w:r>
          </w:p>
          <w:p>
            <w:pPr>
              <w:spacing w:after="20"/>
              <w:ind w:left="20"/>
              <w:jc w:val="both"/>
            </w:pPr>
            <w:r>
              <w:rPr>
                <w:rFonts w:ascii="Times New Roman"/>
                <w:b w:val="false"/>
                <w:i w:val="false"/>
                <w:color w:val="000000"/>
                <w:sz w:val="20"/>
              </w:rPr>
              <w:t>
Затраты на приобретение прочих основных средств по услугам лизинга, не отраженных по спецификам 413 и 414, классифицируются по специфике 159 "Оплата прочих услуг и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p>
            <w:pPr>
              <w:spacing w:after="20"/>
              <w:ind w:left="20"/>
              <w:jc w:val="both"/>
            </w:pPr>
            <w:r>
              <w:rPr>
                <w:rFonts w:ascii="Times New Roman"/>
                <w:b w:val="false"/>
                <w:i w:val="false"/>
                <w:color w:val="000000"/>
                <w:sz w:val="20"/>
              </w:rPr>
              <w:t>
Гражданско-правовые сделки государственных учреждений, заключенные на сумму, не превышающую стократного размера месячного расчетного показателя, не подлежат регистрации в органах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капитальным ремонтом и реставрацией помещений, зданий, сооружений, передаточных устройств, систем и сетей водообеспечения, канализации, электрообеспечения, теплоснабжения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услуг): </w:t>
            </w:r>
          </w:p>
          <w:bookmarkEnd w:id="31"/>
          <w:p>
            <w:pPr>
              <w:spacing w:after="20"/>
              <w:ind w:left="20"/>
              <w:jc w:val="both"/>
            </w:pPr>
            <w:r>
              <w:rPr>
                <w:rFonts w:ascii="Times New Roman"/>
                <w:b w:val="false"/>
                <w:i w:val="false"/>
                <w:color w:val="000000"/>
                <w:sz w:val="20"/>
              </w:rPr>
              <w:t>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2"/>
          <w:p>
            <w:pPr>
              <w:spacing w:after="20"/>
              <w:ind w:left="20"/>
              <w:jc w:val="both"/>
            </w:pPr>
            <w:r>
              <w:rPr>
                <w:rFonts w:ascii="Times New Roman"/>
                <w:b w:val="false"/>
                <w:i w:val="false"/>
                <w:color w:val="000000"/>
                <w:sz w:val="20"/>
              </w:rPr>
              <w:t>
 Затраты, связанные с капитальным ремонтом дорог и взлетно-посадочных полос аэродромов.</w:t>
            </w:r>
          </w:p>
          <w:bookmarkEnd w:id="32"/>
          <w:p>
            <w:pPr>
              <w:spacing w:after="20"/>
              <w:ind w:left="20"/>
              <w:jc w:val="both"/>
            </w:pPr>
            <w:r>
              <w:rPr>
                <w:rFonts w:ascii="Times New Roman"/>
                <w:b w:val="false"/>
                <w:i w:val="false"/>
                <w:color w:val="000000"/>
                <w:sz w:val="20"/>
              </w:rPr>
              <w:t>
Текущий ремонт, содержание, озеленение, а также средний ремонт (заполнение отверстий, повторное покрытие прохудившихся участков дороги) классифицируются как прочие услуги по специфике 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других объектов, не отраженных по спецификам 421 и 422. Также по данной специфике отражаются затраты на модернизацию машин и оборудования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3"/>
          <w:p>
            <w:pPr>
              <w:spacing w:after="20"/>
              <w:ind w:left="20"/>
              <w:jc w:val="both"/>
            </w:pPr>
            <w:r>
              <w:rPr>
                <w:rFonts w:ascii="Times New Roman"/>
                <w:b w:val="false"/>
                <w:i w:val="false"/>
                <w:color w:val="000000"/>
                <w:sz w:val="20"/>
              </w:rPr>
              <w:t xml:space="preserve">
Кроме гражданско-правовых сделок на поставку товаров (работ и услуг), при перечислении сумм: </w:t>
            </w:r>
          </w:p>
          <w:bookmarkEnd w:id="33"/>
          <w:p>
            <w:pPr>
              <w:spacing w:after="20"/>
              <w:ind w:left="20"/>
              <w:jc w:val="both"/>
            </w:pPr>
            <w:r>
              <w:rPr>
                <w:rFonts w:ascii="Times New Roman"/>
                <w:b w:val="false"/>
                <w:i w:val="false"/>
                <w:color w:val="000000"/>
                <w:sz w:val="20"/>
              </w:rPr>
              <w:t>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на счет Торгового представительства Республики Казахстан в Российской Федерации по бюджетной программе "Проведение текущих мероприятий за счет резерва Правительства Республики Казахстан на неотложные затраты" администратором которой является Министерство торговли и интеграции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реконструкцию дорог, кроме капитального ремонта.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со строительством и доставкой судов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по созданию, внедрению и развитию информационных систем, а также затраты по приобретению основных средств и нематериальных активов, предусмотренных в технико-экономическом обосновании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 в том числе государственных концессионных обязательств Правительства Республики Казахстан и местных исполнительных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