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33a" w14:textId="6655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2025 год поступление текущего целевого трансферта из районного бюджета в сумме 42903,0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