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8e4" w14:textId="e8a9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30 сентября 2025 года № 251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Темирского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внутренней политики и развития языков"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Темирского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сентябрья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языков", финансируемых из местного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"Темирский районный центр по делам религий среди молодежи" государственного учреждения "Темирский районный отдел внутренней политики и развития языков" (далее – Центр),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повышения материальной заинтересованности в своевременном и качественном выполнении функции и задач работников центра, а также за надлежащее выполнение должностных (служебных) обязанностей и распространяются на коммунального государственного учреждения "Темирский районный центр по делам религий среди молодежи", финансируемых из местного бюджета.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центра и их размер устанавливаются за счет средств местного бюджета, по решению Темирского районного маслихата и бюджетные средства на выплату стимулирующих надбавок к должностным окладам работников Центра должны быть предусмотрены в плане финансирования (плане развития) государственной организации каждый финансовый год.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Центра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самостоятельных структурных подразделений первому руководителю Центра.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и основания.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Центра в срок не более 20-ти календарных дней.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установлении стимулирующей надбавки к должностному окладу,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необхомых информации в представлении для установления стимулирующей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исполнительской и трудовой дисциплины.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Центра финансируемых из местного бюджета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не устанавливается работникам: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Центре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