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f7e3" w14:textId="787f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3 сентября 2025 года № 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исполнительных органов Каргалинского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24 марта 2023 года № 47 "Об утверждении Методики оценки деятельности административных государственных служащих корпуса "Б" исполнительных органов Каргалинского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Каргалинского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Каргалинского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-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административных государственных служащих корпуса "Б"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калибровочных сессий и предоставления обратной связи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