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5c92" w14:textId="9655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ноября 2025 года № 265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(зарегистрировано в реестре государственной регистрации нормативных правовых актов под № 206079)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6 072 231,6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1 234 132,8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4 815 631,8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7 635 440,4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-1 597 654,8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1 597 654,8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598 951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21 015 тысяч тенге -на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59 607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59 856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1 073 059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24 568 тысяч тенге - на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30 284 тысячи тенге - на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138 400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162 982,5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34 880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10 583 тысячи тенге-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4 637,4 тысячи тенге- на землеустроительные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4 521 тысяча тенге – на поддержку культурно-досуговой работы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1 101 тысяча тенге –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 в районном бюджете поступление займов для выкупа готового жилья для его последующего предоставления в аренду очередникам местного исполнительного органа на 2025 год за счет выпуска государственных ценных бумаг 534 073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"4"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6 072 231,6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1 234 132,8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455 025,4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4 815 631,8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7 635 440,4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2 565 814,3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-1 597 654,8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1 597 654,8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598 951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