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88ff" w14:textId="7958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Алга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декабря 2025 года № 361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960 823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348 693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586 482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- 983 943,3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- 23 120,3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23 120,3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23 120,3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городского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на 2026 год объем субвенции, передаваемые из районного бюджета в сумме - 170 159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на 2026 год поступление целевых текущих трансфертов из районного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государственные услуги общего характера – 28 212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благустройство и озеленение населенных пунктов – 140 053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капитальный и средний ремонт автомобильных дорог в городах районного значения, селах, поселках, сельских округах – 248 058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