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a4c2" w14:textId="851a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- 960 823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- 960 823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городского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на 2026 год объем субвенции, передаваемые из районного бюджета в сумме - 170 159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на 2026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государственные услуги общего характера – 28 212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благустройство и озеленение населенных пунктов – 140 053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капитальный и средний ремонт автомобильных дорог в городах районного значения, селах, поселках, сельских округах – 248 058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