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e440" w14:textId="429e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областного маслихата от 11 апреля 2018 года № 283 "Об утверждении методики оценки деятельности административных государственных служащих корпуса "Б" государственного учреждения "Аппарат Актюбинского областного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27 августа 2025 года № 254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Актюбинский областно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Актюбинского областного маслихата" от 11 апреля 2018 года № 283 (зарегистрированное в Реестре государственной регистрации нормативных правовых актов № 5912)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государственного учреждения "Аппарат Актюбинского областного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утвержденную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Актюбинского областного маслихата.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августа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апреля 2018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283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Актюбинского областного маслихата"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 государственного учреждения "Аппарат Актюбинского областного маслихата".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Методика оценки деятельности административных государственных служащих корпуса "Б" утверждается областным маслихатом на основе типовой Методики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с учетом специфики деятельности Аппарата Актюбинского областного маслихата.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D-1, D-3 (руководитель структурного подразделения);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Руководители службы управления персоналом обеспечивают: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административных государственных служащих корпуса "Б" категорий D-1, D-3 (руководитель структурного подразделения) осуществляется непосредственным руководителем по форме, согласно приложению 1 к настоящей Методике.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приложению 1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осуществляется непосредственным руководителем по форме, согласно приложению 2 к настоящей Методике.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службой управления персоналом через информационную систему.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11 настоящей Методики.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Калибровочная сессия проводится в течение десяти рабочих дней со дня обращения служащего в порядке, предусмотренном в пункте 11 настоящей Методики.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организовывает деятельность калибровочной сессии.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-качественное исполнение задач и поручений в курируемых подразделениях; 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-оперативность исполнения; 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умение брать на себя руководство командой и ответственность за командный результат; - умение четко устанавливать цели и задачи; 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 - умение предлагать несколько вариантов решения задач, с учетом возможных рисков; 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-отсутствие опозданий; -отсутствие преждевременного выхода с работы без уважительной причины; -отсутствие нарушений служебной этики; -соблюдение требований информационной безопасности; -соблюдение требований по обеспечению государственных секретов; 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 - в виде замечания, выговора, строго выговора оценка не может превышать 2,99 баллов; 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умение выполнять функциональные обязанности с высокой долей самостоятельности; - инициативность в прорабке подходов, предложений, направленных на улучшение курируемой сферы деятельности; - активность и участия в решении курируемых задач; 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--отсутствие опозданий; -отсутствие преждевременного выхода с работы без уважительной причины; -отсутствие нарушений служебной этики; -соблюдение требований информационной безопасности; -соблюдение требований по обеспечению государственных секретов; -соблюдение регламента государственного органа; 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 - в виде замечания, выговора, строго выговора оценка не может превышать 2,99 баллов; 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