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e945" w14:textId="1ba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30 мая 2025 года № 97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2025 года № 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2025 года № 97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год" (зарегистрировано в Реестре государственной регистрации нормативных правовых актов № 8726-04)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аммониевая соль, 747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грамм/литр +пиклорам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кислоты, в виде диметиламинной, калиевой и натриевой солей,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флутриафол, 93 грамм/литр + азоксистробин,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грамм/литр + тебуконазол,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20 %,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10 %,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клотианидин, 140 грамм/литр + лямбда-цигалотрина,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 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масляный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г/л +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 + тиаметоксам,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грамм/литр + 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 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гранулы, 0,005%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