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ddfc" w14:textId="6c8d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на водных объектах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августа 2025 года № 247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общего водопользования на водных объектах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августа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на водных объектах Актюбинской области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на водных объектах Актюбинской области (далее -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171-НҚ "Об утверждении Типовых правил общего водопользования" (зарегистрировано в Реестре государственной регистрации нормативных правовых актов № 36443) и определяют порядок осуществления физическими лицами общего водопользования на территории Актюбинской области на водных объектах общего пользования.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3 )определяют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