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b943" w14:textId="bc2b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секвестре бюджета города Щучинска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секвестр бюджета города Щучинска на 2025 год в сумме 136861,7 тысяч тенге в связи с невыполнением плана по налоговым поступлениям.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Секвестрировать бюджетные программы бюджета города Щучинска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Перенести реализацию мероприятий на 2026 год с последующим уточнением бюджетных ассигнований в установленном законодательством порядке.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акима города Щучинска Бурабайского района: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бюджетные программы, планы финансирования и договорные обязательства в соответствие с настоящим решением;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корректировку сроков реализации мероприятий, в том числе путем внесения изменений в действующие договоры.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по вопросам экономики и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№ 8С-39/24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Секвестр бюджета города Щучинска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