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19c" w14:textId="a30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ноября 2025 года № 8С-39/4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