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ddfc" w14:textId="866d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Егиндыкольского района</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24 ноября 2025 года № А-11/158</w:t>
      </w:r>
    </w:p>
    <w:p>
      <w:pPr>
        <w:spacing w:after="0"/>
        <w:ind w:left="0"/>
        <w:jc w:val="both"/>
      </w:pPr>
      <w:r>
        <w:rPr>
          <w:rFonts w:ascii="Times New Roman"/>
          <w:b w:val="false"/>
          <w:i w:val="false"/>
          <w:color w:val="ff0000"/>
          <w:sz w:val="28"/>
        </w:rPr>
        <w:t>
      Сноска.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Егиндыкольского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Егиндыкольского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Егиндыкольского района "Об утверждении коэффициентов зонирования, учитывающих месторасположение объекта налогообложения в населенных пунктах Егиндыкольского района" от 30 ноября 2020 года № а-11/220 (зарегистрировано в Реестре государственной регистрации нормативных правовых актов № 8226).</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Егиндыкольского района Әбіш Қ. Қ.</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Республиканского</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"Управление государственных</w:t>
      </w:r>
    </w:p>
    <w:p>
      <w:pPr>
        <w:spacing w:after="0"/>
        <w:ind w:left="0"/>
        <w:jc w:val="both"/>
      </w:pPr>
      <w:r>
        <w:rPr>
          <w:rFonts w:ascii="Times New Roman"/>
          <w:b w:val="false"/>
          <w:i w:val="false"/>
          <w:color w:val="000000"/>
          <w:sz w:val="28"/>
        </w:rPr>
        <w:t>
      доходов по Егиндыкольскому району</w:t>
      </w:r>
    </w:p>
    <w:p>
      <w:pPr>
        <w:spacing w:after="0"/>
        <w:ind w:left="0"/>
        <w:jc w:val="both"/>
      </w:pPr>
      <w:r>
        <w:rPr>
          <w:rFonts w:ascii="Times New Roman"/>
          <w:b w:val="false"/>
          <w:i w:val="false"/>
          <w:color w:val="000000"/>
          <w:sz w:val="28"/>
        </w:rPr>
        <w:t>
      Департамента государственных</w:t>
      </w:r>
    </w:p>
    <w:p>
      <w:pPr>
        <w:spacing w:after="0"/>
        <w:ind w:left="0"/>
        <w:jc w:val="both"/>
      </w:pPr>
      <w:r>
        <w:rPr>
          <w:rFonts w:ascii="Times New Roman"/>
          <w:b w:val="false"/>
          <w:i w:val="false"/>
          <w:color w:val="000000"/>
          <w:sz w:val="28"/>
        </w:rPr>
        <w:t>
      доходов по Акмолинской области</w:t>
      </w:r>
    </w:p>
    <w:p>
      <w:pPr>
        <w:spacing w:after="0"/>
        <w:ind w:left="0"/>
        <w:jc w:val="both"/>
      </w:pPr>
      <w:r>
        <w:rPr>
          <w:rFonts w:ascii="Times New Roman"/>
          <w:b w:val="false"/>
          <w:i w:val="false"/>
          <w:color w:val="000000"/>
          <w:sz w:val="28"/>
        </w:rPr>
        <w:t>
      Комитета государственных</w:t>
      </w:r>
    </w:p>
    <w:p>
      <w:pPr>
        <w:spacing w:after="0"/>
        <w:ind w:left="0"/>
        <w:jc w:val="both"/>
      </w:pPr>
      <w:r>
        <w:rPr>
          <w:rFonts w:ascii="Times New Roman"/>
          <w:b w:val="false"/>
          <w:i w:val="false"/>
          <w:color w:val="000000"/>
          <w:sz w:val="28"/>
        </w:rPr>
        <w:t>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 2025 года</w:t>
      </w:r>
    </w:p>
    <w:p>
      <w:pPr>
        <w:spacing w:after="0"/>
        <w:ind w:left="0"/>
        <w:jc w:val="both"/>
      </w:pPr>
      <w:r>
        <w:rPr>
          <w:rFonts w:ascii="Times New Roman"/>
          <w:b w:val="false"/>
          <w:i w:val="false"/>
          <w:color w:val="000000"/>
          <w:sz w:val="28"/>
        </w:rPr>
        <w:t>
      ___________ А. Омерзаков</w:t>
      </w:r>
    </w:p>
    <w:p>
      <w:pPr>
        <w:spacing w:after="0"/>
        <w:ind w:left="0"/>
        <w:jc w:val="both"/>
      </w:pPr>
      <w:r>
        <w:rPr>
          <w:rFonts w:ascii="Times New Roman"/>
          <w:b w:val="false"/>
          <w:i w:val="false"/>
          <w:color w:val="000000"/>
          <w:sz w:val="28"/>
        </w:rPr>
        <w:t>
      Руководитель отдела Егиндыкольского</w:t>
      </w:r>
    </w:p>
    <w:p>
      <w:pPr>
        <w:spacing w:after="0"/>
        <w:ind w:left="0"/>
        <w:jc w:val="both"/>
      </w:pPr>
      <w:r>
        <w:rPr>
          <w:rFonts w:ascii="Times New Roman"/>
          <w:b w:val="false"/>
          <w:i w:val="false"/>
          <w:color w:val="000000"/>
          <w:sz w:val="28"/>
        </w:rPr>
        <w:t>
      Районного филиала некоммерческого</w:t>
      </w:r>
    </w:p>
    <w:p>
      <w:pPr>
        <w:spacing w:after="0"/>
        <w:ind w:left="0"/>
        <w:jc w:val="both"/>
      </w:pPr>
      <w:r>
        <w:rPr>
          <w:rFonts w:ascii="Times New Roman"/>
          <w:b w:val="false"/>
          <w:i w:val="false"/>
          <w:color w:val="000000"/>
          <w:sz w:val="28"/>
        </w:rPr>
        <w:t>
      Акционерного общества "Государственная</w:t>
      </w:r>
    </w:p>
    <w:p>
      <w:pPr>
        <w:spacing w:after="0"/>
        <w:ind w:left="0"/>
        <w:jc w:val="both"/>
      </w:pPr>
      <w:r>
        <w:rPr>
          <w:rFonts w:ascii="Times New Roman"/>
          <w:b w:val="false"/>
          <w:i w:val="false"/>
          <w:color w:val="000000"/>
          <w:sz w:val="28"/>
        </w:rPr>
        <w:t>
      корпорация" "Правительство для граждан</w:t>
      </w:r>
    </w:p>
    <w:p>
      <w:pPr>
        <w:spacing w:after="0"/>
        <w:ind w:left="0"/>
        <w:jc w:val="both"/>
      </w:pPr>
      <w:r>
        <w:rPr>
          <w:rFonts w:ascii="Times New Roman"/>
          <w:b w:val="false"/>
          <w:i w:val="false"/>
          <w:color w:val="000000"/>
          <w:sz w:val="28"/>
        </w:rPr>
        <w:t>
      по Акмолинской области"</w:t>
      </w:r>
    </w:p>
    <w:p>
      <w:pPr>
        <w:spacing w:after="0"/>
        <w:ind w:left="0"/>
        <w:jc w:val="both"/>
      </w:pPr>
      <w:r>
        <w:rPr>
          <w:rFonts w:ascii="Times New Roman"/>
          <w:b w:val="false"/>
          <w:i w:val="false"/>
          <w:color w:val="000000"/>
          <w:sz w:val="28"/>
        </w:rPr>
        <w:t>
      ___________ 2025 года</w:t>
      </w:r>
    </w:p>
    <w:p>
      <w:pPr>
        <w:spacing w:after="0"/>
        <w:ind w:left="0"/>
        <w:jc w:val="both"/>
      </w:pPr>
      <w:r>
        <w:rPr>
          <w:rFonts w:ascii="Times New Roman"/>
          <w:b w:val="false"/>
          <w:i w:val="false"/>
          <w:color w:val="000000"/>
          <w:sz w:val="28"/>
        </w:rPr>
        <w:t>
      _________ К. Мергалиев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"___" _______ 2025года</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12, 13, 14, 15, 16, 17, 18, 19, 20, 21, 22, 24, 25, 26, 27, 28, 29, 30, 31, 32, 33, 34, 35, 36, 37, 38, 39, 40, 41, 42, 43, 44, 45, 46, 47, 49; улица Гагарина 2, 2А, 4, 6, 8, 10, 12, 14, 16, 18, 20, 20А, 22; улица Джамбула; улица Комсомольская; улица Ленина 2, 2А, 2Б, 4, 6, 8, 9, 11, 12, 13, 14, 15, 16, 17, 19, 20А, 22, 23, 24, 25, 26, 27, 28, 29, 30, 31, 32, 32А, 33, 34, 34А, 36, 36А; улица Мира; улица Набережная; улица Новая; улица Октябрьская; улица Победы; улица Приозерная 10, 11, 12, 14; улица Пушкина 4, 6, 8, 10, 12, 14, 16, 18, 20, 22, 26, 28; улица Спортивная; улица Школьная; улица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Водопроводная; улица Джакубаева; улица Зеленая; улица Казахская; улица Кирова; улица Линейная 1, 3, 5, 5А, 7, 9, 11, 13, 15, 17, 21, 23, 25; улица Медиков; улица Стадионная; улица Станционная; улица Транспортная; улица Элеваторная;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 2, 2А, 3, 4, 5, 6, 7, 8, 9, 10, 11; улица Восточная; улица Гагарина 28, 30, 32, 33, 34, 35, 36, 37, 38, 39, 40, 41, 43; улица Калинина; улица Ленина 35, 37, 38А, 39, 40, 42; улица Молодежная; улица Приозерная 1, 2, 3, 4, 5, 6, 7, 8, 9; улица Пушкина 3, 5, 5А, 7, 9, 11, 13, 15, 17, 19, 21, 23, 25, 27, 29, 31, 33, 35, 37, 39, 41, 43, 45, 47; улица Северная; улица Степная;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1, 1Г, 3, 3А, 3Б, 3В, 5, 7, 9, 11, 13, 13А, 13Б, 13В, 13Г, 15, 17, 19, 19А, 21, 21А, 21Б, 21В, 21Г, 21Д, 21Е, 23, 25, 27А, 29, 1296, 2945; улица Пушкина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Дорожная; улица Линейная 2, 4, 6, 8; улица Нефтебазовская; улица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"___" _____ 2025 года</w:t>
            </w:r>
            <w:r>
              <w:br/>
            </w:r>
            <w:r>
              <w:rPr>
                <w:rFonts w:ascii="Times New Roman"/>
                <w:b w:val="false"/>
                <w:i w:val="false"/>
                <w:color w:val="000000"/>
                <w:sz w:val="20"/>
              </w:rPr>
              <w:t>№ _______</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Полтавское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Спиридоновка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Бауманское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Буревестник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Коржинколь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Тоганас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Жалманкулак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Коныртубек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Жолан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Степняк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Бесбидаик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