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e90c" w14:textId="e97e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Егиндыкольского районного маслихата от 31 января 2024 года № 8С16-2 "Об утверждении Правил оказания социальной помощи, установления ее размеров и определения перечня отдельных категорий нуждающихся граждан Егиндыкольского района"</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30 июля 2025 года № 8С31-2</w:t>
      </w:r>
    </w:p>
    <w:p>
      <w:pPr>
        <w:spacing w:after="0"/>
        <w:ind w:left="0"/>
        <w:jc w:val="both"/>
      </w:pPr>
      <w:bookmarkStart w:name="z1" w:id="0"/>
      <w:r>
        <w:rPr>
          <w:rFonts w:ascii="Times New Roman"/>
          <w:b w:val="false"/>
          <w:i w:val="false"/>
          <w:color w:val="000000"/>
          <w:sz w:val="28"/>
        </w:rPr>
        <w:t>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Егиндыкольского района" от 31 января 2024 года № 8С16-2 (зарегистрировано в Реестре государственной регистрации нормативных правовых актов под № 8692-03),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Егиндыкольского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Егиндыкольского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Егиндыкольского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раз в два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4) День памяти жертв политических репрессий и голода – 31 мая;</w:t>
      </w:r>
    </w:p>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6) День пожилых людей – 1 октября;</w:t>
      </w:r>
    </w:p>
    <w:p>
      <w:pPr>
        <w:spacing w:after="0"/>
        <w:ind w:left="0"/>
        <w:jc w:val="both"/>
      </w:pPr>
      <w:r>
        <w:rPr>
          <w:rFonts w:ascii="Times New Roman"/>
          <w:b w:val="false"/>
          <w:i w:val="false"/>
          <w:color w:val="000000"/>
          <w:sz w:val="28"/>
        </w:rPr>
        <w:t>
      7)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8) День Независимости – 16 декабря.";</w:t>
      </w:r>
    </w:p>
    <w:p>
      <w:pPr>
        <w:spacing w:after="0"/>
        <w:ind w:left="0"/>
        <w:jc w:val="both"/>
      </w:pPr>
      <w:r>
        <w:rPr>
          <w:rFonts w:ascii="Times New Roman"/>
          <w:b w:val="false"/>
          <w:i w:val="false"/>
          <w:color w:val="000000"/>
          <w:sz w:val="28"/>
        </w:rPr>
        <w:t>
      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w:t>
      </w:r>
    </w:p>
    <w:p>
      <w:pPr>
        <w:spacing w:after="0"/>
        <w:ind w:left="0"/>
        <w:jc w:val="both"/>
      </w:pPr>
      <w:r>
        <w:rPr>
          <w:rFonts w:ascii="Times New Roman"/>
          <w:b w:val="false"/>
          <w:i w:val="false"/>
          <w:color w:val="000000"/>
          <w:sz w:val="28"/>
        </w:rPr>
        <w:t>
      в двухкратном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8" w:id="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10</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"3) ко Дню Победы - 9 мая:</w:t>
      </w:r>
    </w:p>
    <w:p>
      <w:pPr>
        <w:spacing w:after="0"/>
        <w:ind w:left="0"/>
        <w:jc w:val="both"/>
      </w:pPr>
      <w:r>
        <w:rPr>
          <w:rFonts w:ascii="Times New Roman"/>
          <w:b w:val="false"/>
          <w:i w:val="false"/>
          <w:color w:val="000000"/>
          <w:sz w:val="28"/>
        </w:rPr>
        <w:t>
      ветеранам Великой Отечественной войны 1 раз в год в размере - 1 500 000 (один миллион пятьсот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 соответствии со статьей 6 Закона Республики Казахстан "О ветеранах"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1 раз в год в размере 13 (тринадцать) месячных расчетных показателей;</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 ветеранах" 1 раз в год в размере 10 (десять) месячных расчетных показателей;";</w:t>
      </w:r>
    </w:p>
    <w:bookmarkStart w:name="z9" w:id="4"/>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3):</w:t>
      </w:r>
    </w:p>
    <w:p>
      <w:pPr>
        <w:spacing w:after="0"/>
        <w:ind w:left="0"/>
        <w:jc w:val="both"/>
      </w:pPr>
      <w:r>
        <w:rPr>
          <w:rFonts w:ascii="Times New Roman"/>
          <w:b w:val="false"/>
          <w:i w:val="false"/>
          <w:color w:val="000000"/>
          <w:sz w:val="28"/>
        </w:rPr>
        <w:t>
      "3) "Пенсионерам по возрасту, за исключением лиц с инвалидностью, которым в соответствии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Егиндыкольского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уполномоченную организацию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14"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Егиндыкольского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