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a6f8" w14:textId="672a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 субсидий на субсидирование развития производства приоритетных культур, в том числе многолетних насаждений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4 июня 2025 года № А-6/295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приоритетных культур и нормы субсидий на субсидирование развития производства приоритетных культур, в том числе многолетних насаждений на 2025 год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А-6/295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 на субсидирование развития производства приоритетных культур, в том числе многолетних насаждений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1 тонну,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