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9612" w14:textId="4069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27 мая 2025 года № 622 "Об утверждении Правил реализации государственными учреждениями Вооруженных Сил товаров (работ, услуг) и использования денег от их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декабря 2025 года № 1770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 исполняющего обязанности Министра обороны Республики Казахстан от 27 мая 2025 года № 622 "Об утверждении Правил реализации государственными учреждениями Вооруженных Сил товаров (работ, услуг) и использования денег от их реализации"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государственным учреждениями Вооруженных Сил товаров (работ, услуг) и использования денег от их реализации,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ГУ осуществляют реализацию товаров (работ, услуг) (далее – платные услуги) на платной основе в сферах: спорта, культуры, образования и науки, навигационно-гидрографической, морских перевозок, аэропортовской и авиационной деятельности, военной медицины, содержания, ремонта и строительства инфраструктуры, производства изделий, а также гостиничного дела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командировочные расходы внутри страны и за ее пределами, связанные с проведением исследований, стажировок, курсов, работ и услуг, участием в выставках, семинарах, научных конференциях, дистанционных советах, в том числе международных, в пределах норм возмещения командировочных расходов, установленных законодательством Республики Казахстан, а также проведение совместной работы Казахстана и иностранных государств;";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Средства, поступающие от реализации услуг содержания, ремонта и строительства инфраструктуры, производства изделий, а также гостиничного дела, расходуются на: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оборудования, измерительных приборов, строительных материалов для строительства, реконструкции, капитального, текущего ремонтов инфраструктуры и дорог, а также мебели и металлических конструкций;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автомобильной и специальной техники, а также запасных частей;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ремонту и содержанию оборудования, автомобильной и специальной техники;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и повышение материально-технической базы;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учебных пособий, наглядных материалов, журналов и книг для обеспечения работ (услуг);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обучающих тренингов, семинаров и конференций, а также повышение квалификации административного и технического персоналов;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оборудований, материальных средств, мебели и продуктов для организации питания, и содержания гостиниц".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услуга предоставления обеденного зала столовых и буфетов для организации общественного питания и проведения мероприятий";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 и 11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Услуги, реализуемые в сфере содержания, ремонта и строительства инфраструктуры, производства изделий, подъездных путей, погрузочно-разгрузочных работ, хранения товаров, а также гостиничного дела на платной основе: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строительство, ремонт, реконструкция зданий, автомобильных дорог и искусственных сооружений;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и озеленение;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уборка и вывоз снега, твердо-бытовых и строительных отходов;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земляные работы и обвалование;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снос зданий и сооружений;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изготовление бетонных изделий;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гравийных (щебеночных) и песчаных карьеров;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изготовление мебели;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и монтаж изделий из металла;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и монтаж изделий из пластика, включая окна, двери, а также выполнение сопутствующих работ по установке и обслуживанию;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изготовление и монтаж металлических сооружений и конструкций;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изготовление и монтаж металлических ограждений и заграждений;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подъездных железнодорожных путей;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погрузочно-разгрузочные услуги на железнодорожной рампе;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услуги ответственного хранения товаров в рамках заключенных договоров;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транспортная (автомобильная) логистика по территории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Услуги, реализуемые в сфере гостиничного дела на платной основе: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номеров;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бытовых услуг;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питания.".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первого официального опубликования;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