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9f33" w14:textId="3389f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обороны Республики Казахстан от 25 ноября 2022 года № 1123 "Об утверждении Правил учета личного состава Вооруженных Сил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4 ноября 2025 года № 1545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25 ноября 2022 года № 1123 "Об утверждении Правил учета личного состава Вооруженных Сил Республики Казахстан" (зарегистрирован в Реестре государственной регистрации нормативных правовых актов под № 30766)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личного состава Вооруженных Сил Республики Казахстан,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четырнадцатую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95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пункте 10 послужного списка не подлежат записи сведения: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пребывании на учебе в специализированной организации образования с углубленной допризывной подготовкой, а также о периодах, которые в соответствии с действующим законодательством не засчитываются в выслугу лет на пенсию, назначаемую уволенным военнослужащим по линии МО РК;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нахождении на учебе на курсах переподготовки и усовершенствования военнослужащих офицерского состава без освобождения от занимаемых должностей;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переводе с одного курса на другой курс в период учебы в военных учебных заведениях.".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организационно-мобилизационной работы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пункта 10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11 июля 2023 года № 472 (зарегистрирован в Реестре государственной регистрации нормативных правовых актов под № 33059);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после дня первого официального опубликования настоящего приказа.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генерал-лейтенант авиации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