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dd3d" w14:textId="aead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структурных подразделений Министерства обороны, Генерального штаба и Вооруженных Сил Республики Казахстан при осуществлении государственных закупок в интересах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19 сентября 2025 года № 1307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структурных подразделений Министерства обороны, Генерального штаба и Вооруженных Сил Республики Казахстан при осуществлении государственных закупок в интересах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государственных закупок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Эталонный контрольный банк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 утвержденных приказом Министра юстиции Республики Казахстан от11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течении пяти календарных дней со дня его размещения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1307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структурных подразделений Министерства обороны, Генерального штаба и Вооруженных Сил Республики Казахстан при осуществлении государственных закупок в интересах Министерства обороны Республики Казахстан.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взаимодействие структурных подразделений Министерства обороны, Генерального штаба и Вооруженных Сил Республики Казахстан при осуществлении государственных закупок в интересах Министерства обороны Республики Казахстан (далее –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финансовый год – год, предшествующий плановому году;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довольствующие органы – структурные подразделения Министерства обороны, Генерального штаба Вооруженных Сил Республики Казахстан, республиканские государственные учреждения, а также Главные управления заказчика, в интересах которых осуществляются государственные закупки, ответственные за своевременное определение потребности, планирование денежных средств в рамках государственных закупок (в том числе предоставление не менее трех ценовых предложений закупаемого товара, работ, услуг), разработку технической спецификации (технических заданий)к товарам, работам, услугам по государственным закупкам;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приемщик – структурное подразделение Министерства обороны, Генерального штаба, Вооруженных Сил Республики Казахстан, а также республиканское государственное учреждение, непосредственно осуществляющее приемку товаров, работ, услуг по договорам о государственных закупках;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организатор государственных закупок – юридическое лицо или структурное подразделение Министерства обороны, осуществляющее организацию и проведение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(далее – Закон).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– республиканское государственное учреждение, уполномоченное Министерством обороны Республики Казахстан, осуществлять приобретение товаров, работ, услуг для нужд Вооруженных Сил Республики Казахстан в рамках государственных закупок, заключать договоры и производить по ним оплату;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заказчикам и довольствующим органам допускается выступать в одном лице.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Довольствующий орган и приемщик являются представителями заказчика, выполняющими некоторые его функции, определенные и предусмотренные настоящими Правилами.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Взаимодействие структурных подразделений Министерства обороны, Генерального штаба и Вооруженных Сил Республики Казахстан при осуществлении государственных закупок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Разработка и утверждение годового плана государственных закупок (предварительного годового плана государственных закупок)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разрабатывает и утверждает отдельный годовой план государственных закупок (предварительный годовой план государственных закупок) товаров, работ, услуг, на основании соответствующего бюджета в порядке 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закупок, утвержденных приказом Министра финансов Республики Казахстан от 9 октября 2024 года № 687 (зарегистрирован в Реестре государственной регистрации нормативных правовых актов под № 35238) (далее – Правила осуществления государственных закупок) и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государственных закупок с применением особого порядка, утвержденных приказом Министра финансов Республики Казахстан от 7 октября 2024 года № 671 (зарегистрирован в Реестре государственной регистрации нормативных правовых актов под № 35220) (далее – Правила осуществления государственных закупок с применением особого порядка) при этом, предварительный годовой план государственных закупок, разрабатывается в течении пятнадцати рабочих дней после поступления положительного решения соответствующей бюджетной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разработки и утверждения годового плана государственных закупок (предварительного годового плана государственных закупок) на предстоящий финансовый год, довольствующие органы: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августа текущего финансового года на основании бюджетного запроса на плановый период под лимит, направляет в адрес заказчика предложения в предварительный годовой план государственных закупок, с приложением обоснования способа закупок, и кода единого номенклатурного справочника закупаемых товаров, работ, услуг, по каждому пункту, утвержденные первым руководителем довольствующего органа, либо лицом, исполняющим его обязанности, технические спецификации, разработанные в соответствии с пунктами 14, 15, 16настоящих Правил, а также список лиц, для включения в состав конкурсной и экспертной комиссий и предложения в проект договора о государственных закупках;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ноября текущего финансового года направляет в адрес заказчика предложения в годовой план государственных закупок с обоснованием способа закупок и кода единого номенклатурного справочника товаров, работ, услуг по каждому пункту, утвержденные первым руководителем довольствующего органа, либо лицом, исполняющим его обязанности технические спецификации,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список лиц, для включения в состав конкурсной и экспертной комиссий и предложения в проект договора о государственных закупках.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довольствующих органов в годовой план государственных закупок (предварительный годовой план государственных закупок) оформляются по форме согласно приложениям 1 к Правилам осуществления государственных закупок с применением особого порядка и по форме согласно приложениям 1 к Правилам осуществления государственных закупок, подписываются первым руководителем довольствующего органа, либо лицом, исполняющим его обязанности.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по итогам рассмотрения предложений в годовой план государственных закупок (предварительный годовой план государственных закупок), представленных довольствующими органами, принимает их, либо отказывает в их принятии.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Отказанные в принятии предложения в годовой план государственных закупок (предварительный годовой план государственных закупок) в течение трех рабочих дней со дня поступления в делопроизводство заказчика возвращаются с приложением мотивированного отказа.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Довольствующий орган в течение двух рабочих дней после получения замечаний устраняет их и повторно направляет в адрес заказчика предложения в годовой план государственных закупок (предварительный годовой план государственных закупок).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в течение двух рабочих дней после повторного внесения предложений в годовой план государственных закупок (предварительный годовой план государственных закупок) принимает указанный план, при условии полного устранения замечаний со стороны довольствующего органа.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внесения изменений и (или) дополнений в утвержденный годовой план государственных закупок (предварительный годовой план государственных закупок), довольствующий орган, ежемесячно в срок до 10 числа следующего месяца, представляет в адрес заказчика предложение о внесении изменений и (или) дополнений в соответствующий план.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приобретении товаров, работ, услуг, не предусмотренных годовым планом государственных закупок, довольствующий орган разрабатывает и направляет заказчику соответствующее предложение о внесении изменений и (или) дополнений в годовой план государственных закупок с обоснованием способа закупок и кода единого номенклатурного справочника товаров, работ, услуг и не менее трех ценовых предложений закупаемого товара, работ, услуг по каждому пункту, а также технические спецификации, разработанные в соответствии с пунктами 14, 15, 16настоящих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Заказчики в течение трех рабочих дней после утверждения годового плана государственных закупок (предварительного годового плана государственных закупок) и изменений (дополнений) к ним направляют их в адрес организатора, с пояснительной запиской с указанием организатора государственных закупок и вносимых изменений.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 течение десяти рабочих дней после размещения предварительного годового плана государственных закупок на веб-портале государственных закупок (далее – веб - портал) и в течении десяти рабочих дней после утверждения предварительного плана государственных закупок с применением особого порядка, направляет в адрес организатора заявки для проведения конкурсных процедур по первоочередным товарам, работам, услугам, предусмотренным предварительными годовыми планами.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первоочередным товарам, работам, услугам относятся: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срок поставки которых предусмотрен до конца первого квартала предстоящего финансового года;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услуги, выполнение и оказание которых необходимо с 1 января предстоящего финансового года.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Первый руководитель довольствующего органа или лицо исполняющее его обязанности, а в случае если заказчик и довольствующий орган выступают в одном лице то первый руководитель заказчика или лицо исполняющее его обязанности отвечает за соответствие выбранного кода единого номенклатурного справочника товаров, работ и услуг краткой характеристике товаров, работ, услуг на веб-портале и качественную разработку технической спецификации и обоснованное установление квалификационных требовании.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Разработка технических спецификаций и установление квалификационных требований.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Довольствующий орган при разработке технического задания и (или) технических спецификаций закупаемых товаров, работ, услуг учитывает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положения Правил осуществления государственных закупок с применением особого порядка и Правил осуществления государственных закупок.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разработанной технической спецификации закупаемых товаров, работ, услуг указываются национальные стандарты, а в случае их отсутствия межгосударственные стандарты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работ, услуг с учетом нормирования государственных закупок.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технической спецификации содержится требование к потенциальным поставщикам о представлении документов, подтверждающих соответствие поставляемых товаров требованиям, установленным техническими регламентами, стандартами или иными документами в соответствии с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функциональные, технические, качественные и эксплуатационные характеристики закупаемых товаров, работ, услуг устанавливаются в соответствии с действительной потребностью.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довольствующего органа или лицо, исполняющее его обязанности, а в случае если заказчик и довольствующий орган выступают в одном лице, то первый руководитель заказчика или лицо исполняющее его обязанности подписывает разработанные техническое задание и (или) техническую спецификацию, после осуществления проверки на соответствие требованиям руководящих документов (технические регламенты) и действующего законодательства о государственных закупках.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техническая спецификация закупаемых товаров, работ, услуг подписывается и полистно парафируется первымруководителем довольствующего органа или лицом, исполняющим его обязанности, а в случае если заказчик и довольствующий орган выступают в одном лице, то первымруководителем заказчика или лицом,исполняющим его обязанности.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Квалификационные требования, предъявляемые к потенциальному поставщику,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осуществления государственных закупок с применением особого порядка и Правилами осуществления государственных закупок.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установления квалификационных требований, предъявляемых к потенциальному поставщику по наличию разрешения (уведомления), указывается точное наименование разрешения (уведомления), вид деятельности, подвид лицензируемого вида деятельности и их коды.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установления квалификационных требований, предъявляемых к потенциальному поставщику по наличию трудовых ресурсов, указывается точная специальность или квалификация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квалификации технического и профессионального, после среднего образования, утвержденных приказом Министра образования и науки Республики Казахстан от 27 сентября 2018 года № 500 (зарегистрирован в Реестре государственной регистрации нормативных правовых актов под № 17564) и их количество.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установления квалификационных требований, предъявляемых к потенциальному поставщику по наличию материальных ресурсов, указывается точное наименование материальных ресурсов и их количество.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государственных закупок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осуществления государственных закупок способом конкурса, довольствующий орган направляет заказчику на рассмотрение заявку, с предоставлением следующих документов на казахском и русском языках: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закупаемых товаров, работ, услуг, с обязательным указанием адреса и наименования приемщика (базис поставки, место оказания услуг, выполнения работ);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подписанную первым руководителем довольствующего органа, либо лицом, исполняющим его обязанности техническую спецификацию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ввода некорректных данных, при проведении государственных закупок в соответствии с Правилами осуществления государственных закупок, в технической спецификации указывается номер лота (номер пункта плана государственных закупок).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работ, требующих проектно-сметную документацию, вместо технической спецификации, конкурсная документация должна содержать проектно-сметную документацию, прошедшую экспертизу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наличие проектно-сметной документации, конкурсная документация помимо информации и документов, предусмотренных пунктами 117 и 118 Правил осуществления государственных закупок, должна содержать утвержденную в установленном законодательством порядке проектно-сметную документацию и ее положительное заключение комплексной вневедомственной экспертизы. При этом сроки выполнения работ по таким государственным закупкам должны соответствовать срокам выполнения работ, указанным в данном заключении комплексной вневедомственной экспертизы проекта.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 по разработке проектной (проектно-сметной) документации, конкурсная документация, помимо информации и документов, предусмотренных пунктами 117 и 118 настоящих Правил осуществления государственных закупок,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(при необходимости);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кандидатуры для включения в состав экспертной комиссий (эксперта), с приложением копии дипломов/сертификатов, специализация которых соответствует закупаемым товарам, работам, услугам. При проведении закупок в соответствии с Правилами осуществления государственных закупок, учитываются требования пункта 129 Правил осуществления государственных закупок. При невозможности привлечения специалиста в качестве эксперта, последний включается в состав конкурсной комиссии;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дополнения и предложения в типовой договор о государственных закупках, при наличии таковых;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в соответствии с Правилами осуществления государственных закупок, документы, указанные в настоящем пункте предоставляются в WORD/EXCELL и PDFформатах.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государственных закупок в соответствии с Правилами осуществления государственных закупок с применением особого порядка, документы, указанные в настоящем пункте предоставляются в оригинале и WORD/EXCELL форматах.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государственных закупок организатор в течение двух рабочих дней со дня подписания протокола об итогах государственных закупок товаров, работ, услуг способом конкурса, представляет результаты государственных закупок (протокол итогов) в адрес заказчика.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признанным несостоявшимся государственным закупкам способом конкурса, довольствующий орган направляет заказчику предложения,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для принятия соответствующего решения.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повторных государственных закупок способом конкурса несостоявшимся, заказчик на основании письменного предложения довольствующего органа осуществляет государственные закупки способом из одного источника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осуществления государственных закупок способом запроса ценовых предложений, довольствующий орган направляет заказчику заявку на осуществление государственных закупок, подписанную первым руководителем довольствующего органа либо лицом, исполняющим его обязанности, с указанием сведений 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техническую спецификацию, разработанную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предложения и дополнения в типовой договор о государственных закупках(при наличии).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государственных закупок способом из одного источника путем прямого заключения договора о государственных закупках, довольствующий орган: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техническую спецификацию, в соответствии с пунктами 14, 15, 16 настоящих Правил;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исключением требований, предусмотренных пунктами 506-518 Правил осуществления государственных закупок, направляет запросы о предоставлении ценовых предложений не менее трем потенциальным поставщикам (в случае, если потенциальных поставщиков менее трех, то направляет имеющимся потенциальным поставщикам), осуществляющим свою деятельность на рынке закупаемых товаров, работ, услуг;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основе представленных ценовых предложений потенциальных поставщиков или иных документов, послуживших основанием для выбора поставщика, довольствующий орган с соблюдением принципа осуществления государственных закупок,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определяет потенциального поставщика;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заключения договора направляет заказчику обоснование выбора поставщика и способа закупки, техническую спецификацию, утвержденную первым руководителем довольствующего органа либо лицом, исполняющим его обязанности и полученные в соответствии с подпунктом 2) настоящего пункта ценовые предложения.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на основании документов, указанных в подпункте 4) настоящего пункта, за исключением требований, предусмотренных пунктами 506-518 Правил осуществления государственных закупок, заключает договор с поставщиком на приобретение товаров, работ, услуг.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Заказчик выступает в качестве организатора закупок для довольствующих органов при осуществлении государственных закупок способами запроса ценовых предложений, из одного источника путем прямого заключения договора о государственных закупках и из одного источника по несостоявшимся закупкам в соответствии с пунктом 493 Правил осуществления государственных закупок.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и проведение государственных закупок осуществляется организатором, на основании представленной заказчиком заявки, с предоставлением следующих документов на казахском и русском языках: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из годового плана государственных закупок по закупаемым товарам, работам, услугам;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 техническую спецификацию закупаемых товаров, работ, услуг, подписанные первым руководителем заказчика либо лицом, исполняющим его обязанности, в соответствии с пунктами 14, 15, 16настоящих Правил.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исключения ввода некорректных данных, при проведении государственных закупок в соответствии с Правилами осуществления государственных закупок, в технической спецификации указывается номер лота (номер пункта плана государственных закупок).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с применением особого порядка работ, требующих проектно-сметную документацию, вместо технической спецификации с конкурсной документацией представляется проектно-сметная документация, прошедшая экспертизу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работ, требующих наличие проектно-сметной документации, конкурсная документация помимо информации и документов, предусмотренных пунктами 117 и 118 Правил осуществления государственных закупок, должна содержать утвержденную в установленном законодательством порядке проектно-сметную документацию и ее положительное заключение комплексной вневедомственной экспертизы. При этом сроки выполнения работ по таким государственным закупкам должны соответствовать срокам выполнения работ, указанным в данном заключении комплексной вневедомственной экспертизы проекта.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работ по разработке проектной (проектно-сметной) документации, конкурсная документация, помимо информации и документов, предусмотренных пунктами 117 и 118 настоящих Правил осуществления государственных закупок,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(при необходимости);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кандидатуры для включения в состав экспертной комиссий (эксперта), с приложением копии дипломов/сертификатов, специализация которых соответствует закупаемым товарам, работам, услугам.При проведениизакупок в соответствии с Правилами осуществления государственных закупок, учитываются требования пункта 129 Правил осуществления государственных закупок. При невозможности привлечения специалиста в качестве эксперта, последний включается в состав конкурсной комиссии;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договора с учетом предложений и дополнений довольствующего органа (при наличии);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квалификационные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и в соответствии с пунктами 17, 18, 19 и 20 настоящих Правил.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государственных закупок в соответствии с Правилами осуществления государственных закупок, документы, указанные в настоящем пункте предоставляются в WORD/EXCELL и PDF форматах.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государственных закупок в соответствии с Правилами осуществления государственных закупок с применением особого порядка, документы, указанные в настоящем пункте предоставляются в оригинале и WORD/EXCELL форматах.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Организатор в срок не позднее пяти рабочих дней после поступления документов, предусмотренных пунктом 25 настоящих Правил, рассматривает их и при установлении замечаний возвращает заказчику для доработки.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замечаний, организатор разрабатывает и формирует проект конкурсной документации на казахском и русском языках в соответствии с типовой конкурсной документацией по государственным закупкам,согласно приложениям 5 и 12 к Правилам осуществления государственных закупок с применением особого порядка и приложению 42 к Правилам осуществления государственных закупок и в течении двух рабочих дней направляет его заказчику для утверждения.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Заказчик, в течение пяти рабочих дней после получения замечаний устраняет их и повторно направляет в адрес организатора.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Заказчик в течении трех рабочих дней со дня поступления проекта конкурсной документации, проверяет его на соответствие поданной заявки, утверждает его и направляет организатору для проведения государственных закупок в порядке, установленном законодательством Республики Казахстан о государственных закупках.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Заказчик в течении одного рабочего дня со дня утверждения конкурсной документации направляет в адрес организатора выписку из приказа об утверждении конкурсной документации.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Организатор в течение двух рабочих дней со дня подписания протокола об итогах государственных закупок, направляет в адрес заказчика копию указанного протокола.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осуществления государственных закупок способом через Электронный магазин, довольствующий орган направляет заказчику на рассмотрение заявку, с предоставлением следующих документов на казахском и русском языках: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с обязательным указанием KZTIN товара, предполагаемого к закупке, адреса и наименования приемщика (базис поставки), контактные данные представителя приемщика (фамилия, инициалы и контактный телефон);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дополнения и предложения в типовой договор о государственных закупках (при наличии).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Заключение договора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о закупках заключается между заказчиком и потенциальным поставщиком признанным победителем или потенциальным поставщиком, занявшим второе место,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договоре о закупках указываются сведения о приемщике.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Заказчик, в течение двух рабочих дней со дня вступления в силу договора о закупках, направляет довольствующему органу экземпляр договора приемщика.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Довольствующий орган в течение двух рабочих дней со дня получения экземпляра договора направляет его приемщику (приемщикам).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заказчик и довольствующий орган выступает в одном лице, заказчик в течение двух рабочих дней со дня вступления в силу договора о закупках, направляет экземпляр договора приемщику.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целях своевременного возврата или удержания организатором обеспечения конкурсной заявки потенциального поставщика, заказчик: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двух рабочих дней со дня своевременного внесения обеспечения исполнения договора потенциальным поставщиком, уведомляет об этом организатора.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внесения либо несвоевременного внесения обеспечения исполнения договора заказчик в течении одного рабочего дня со дня окончания срока внесения обеспечения.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со дня уклонения потенциального поставщика от заключения договора, уведомляет об этом организатора.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получения копии договора приемщик в целях качественного исполнения договора принимает необходимые меры по подготовке места для принятия поставляемых товаров, надлежащего оказания услуг и выполнения работ.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Довольствующий орган, при рассмотрении вопроса о внесении изменений и дополнений в заключенный договор, направляет заказчику сведения о необходимости и (или) целесообразности внесения изменений и/или дополнений в договор.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