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3f55" w14:textId="ca6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формы журнала учета актов о назначении проверок в сфере территориальной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сентября 2025 года № 1237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территориальной обороне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приказу: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журнала учета актов о назначении проверок,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журнала учета актов о назначении проверок в сфере территориальной обороны,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территориальной обороны Генерального штаба Вооруженных Сил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течении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журнала учета актов о назначении проверок в сфере территориальной обороны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журнала учета актов о назначении проверок в сфере территориальной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территориальной обороне Республики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ведения журнала учета актов о назначении проверок (далее – Журнал учета), которые включают его оформление и заполнение 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журнала учета актов о назначении проверок в сфере территориальной обороны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территориальной обороны заполняет журнал учета.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введется на бумажном носителе, пронумеровывается, прошнуровывается и заверяется подписью ответственного лица, назначенным за его ведение и печатью (при наличии) уполномоченного органа в сфере территориальной обороны.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 него вносятся полно, четко, аккуратно, исправления и подчистки не допускаются. Ошибочные записи оговариваются и заверяются подписью ответственного лица.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для каждого акта проверки в сфере территориальной обороны.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дата заполнения журнала.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дата и номер акта о назначении проверки в сфере территориальной обороны.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уполномоченного органа в сфере территориальной обороны.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фамилия, имя, отчество (при его наличии) и должность лица (лиц), уполномоченного (уполномоченных) на проведение проверки в сфере территориальной обороны.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наименование проверяемого субъекта (объекта).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идентификационный номер (БИН) проверяемого субъекта.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срок проведения проверки в сфере территориальной обороны.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указываются подпись лица, уполномоченного подписывать акты.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1237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актов о назначении проверок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заполнения журнала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 назначении 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лица (лиц), уполномоченного (уполномоченных) на проведение 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 (объекта)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Идентифика-ционный номер (БИН) проверяемого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проверки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уполномоченного подписывать акты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