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4fcf" w14:textId="5c64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обороны Республики Казахстан от 24 августа 2017 года № 476 "Об утверждении Правил ношения военной формы одежды и знаков различия Вооруженных Сил, других войск и воинских формирований Республики Казахстан, а также других знаков"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мая 2025 года №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19.05.2025.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августа 2017 года № 476 "Об утверждении Правил ношения военной формы одежды и знаков различия Вооруженных Сил, других войск и воинских формирований Республики Казахстан, а также других знаков" (зарегистрирован в Реестре государственной регистрации нормативных правовых актов под № 15803),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военной формы одежды и знаков различия Вооруженных Сил, других войск и воинских формирований Республики Казахстан, а также других знаков,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Военнослужащими, проходящими воинскую службу в резерве носится полевая форма одежды на занятиях или сборах по боевой подготовке, а также сборах при кризисных ситуациях.".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19 мая 2025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