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b08" w14:textId="5cd6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мая 2025 года № 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19.05.2025.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 (зарегистрирован в Реестре государственной регистрации нормативных правовых актов под № 11844)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Норме 1 "Общевойсковой паек" дополнить подпунктом 12)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военнослужащие, проходящие воинскую службу в резерве.";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пайка к основным нормам "Обеспечение питьевой водой"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по данной норме за счет государства снабжаются: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военнослужащие в полевых выходах, на учениях, маневрах, в районах стихийных бедствий и катастроф, в условиях чрезвычайного положения, при вооруженных конфликтах и в миротворческих операциях;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военнослужащие, проходящие воинскую службу в резерве, при прохождении занятий и сборах по боевой подготовке, при кризисных ситуациях;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военнообязанные, призванные на воинские сборы, студенты военных кафедр, проходящие военную подготовку на учебных полигонах и центрах;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регионах с жарким климатом (город Шымкент, Туркестанская, Кызылординская, Мангистауская и Атырауская области), указанная категория довольствующихся в период с 1 июня по 31 августа дополнительно обеспечиваются по 1,5 литра бутилированной питьевой водой в сутки.";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пайка к основным нормам "Лечебно-профилактический паек"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по данной норме за счет государства снабжать следующую категорию военнослужащих: медицинский (ветеринарный) персонал, связанный с ядохимикатами; специалисты (рентгенологи); специалисты, постоянно связанные с горюче смазочными материалами (начальник склада горюче-смазочных материалов, заправщик); специалисты службы вооружения, связанные с хранением, сбережением и техническим обслуживанием изделий, содержащих вещества с ионизирующим излучением (начальник службы вооружения, начальник склада, начальник хранилища, техник, крановщик, такелажник), а также специалисты радиационной, химической и биологической защиты, выполняющие особые задачи и работы, связанные с радиационными рисками.";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Норме 5 "Паек для Десантно-штурмовых войск" дополнить подпунктом 9) следующего содержания: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военнослужащие, проходящие воинскую службу в резерве.";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к </w:t>
      </w:r>
      <w:r>
        <w:rPr>
          <w:rFonts w:ascii="Times New Roman"/>
          <w:b w:val="false"/>
          <w:i w:val="false"/>
          <w:color w:val="000000"/>
          <w:sz w:val="28"/>
        </w:rPr>
        <w:t>Норме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"Паек для курсантов военного колледжа спорта Спортивного комитета – Центрального спортивного клуба армии"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6 "Паек для учащихся военно-спортивного колледжа";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Нормой 46 "Обеспечение военнослужащих имуществом личного пользования (инвентарное имущество)"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государственном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19 мая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мая 2025 года № 613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46 обеспечение военнослужащих имуществом личного пользования (инвентарное имущество)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человека,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эксплуатации,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Фляга металлическая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к фляге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Котелок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данной норме обеспечиваются: офицеры, сержанты и солдаты, проходящие воинскую службу по контракту и в резерве; сержанты и солдаты, проходящие воинскую службу по призыву; курсанты военных учебных заведений; учащиеся Республиканских школ "Жас улан" и Военных колледжей; военнообязанные и студенты высших учебных заведений, призванные на сборы, за исключением летно-технического состава авиации Сил воздушной обороны.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подразделений специального назначения и оперативных подразделений специального назначения войсковой части 14776; частей и подразделений поисково-спасательной службы, войсковой и оперативной разведки, горно-егерских и горно-стрелковых частей, а также войсковой части 32039, фляги металлические, чехлы к флягам и котелок металлический по данной норме не выдаются;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вместо фляги металлической в районах с жарким климатом разрешается выдавать флягу полиэтиленовую на 2 года. В Десантно-штурмовых войсках выдается котелок комбинированный 1 штука на 4 года и чехол к котелку – 1 штука на 2 года.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