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3cb7" w14:textId="9fd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4 ноября 2014 года № 511 "Об утверждении Правил осуществления мер безопасности органами военного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2025 года № 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ноября 2014 года № 511 "Об утверждении Правил осуществления мер безопасности органами военного управления" (зарегистрирован в Реестре государственной регистрации нормативных правовых актов под № 9918)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военного управления,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Органами военного управления применяются меры безопасности в отношении военнослужащих, лиц гражданского персонала воинских частей, соединений или государственных учреждений Вооруженных Сил Республики Казахстан, других войск и воинских формирований, путем применения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защите лиц, участвующих в уголовном процессе" (далее-Закон) мер безопасности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 (далее – воинские части и учреждения).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отношении защищаемого лица применяются также меры безопасности в виде перевода защищаемого лица к новому месту воинской службы в воинские части и учреждения, перевод (откомандирование) военнослужащего, проходящего воинскую службу по призыву или по контракту.".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№33059);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первого официального опубликования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