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d152" w14:textId="a88d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техническими средствами воспитания, другим культурно-просветительным имуществом и комплектами полиграфического оборудования типографий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апреля 2025 года № 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техническими средствами воспитания, другим культурно-просветительным имуществом и комплектами полиграфического оборудования типографий.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обороны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 декабря 2023 года № 1234 "Об утверждении натуральных норм обеспечения техническими средствами воспитания, другим культурно-просветительным имуществом и комплектами полиграфического оборудования типографий".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Такиев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"______" ___________ 2025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362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техническими средствами воспитания, другим культурно-просветительным имуществом и комплектами полиграфического оборудования типографий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№ 1.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Казахстан, Генеральный штаб Вооруженных Сил Республики Казахстан и государственные учреждения Вооруженных Сил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органа, заместители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Генерального штаба, заместители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Департамента, Главного управления, управление Министерства обороны (Генерального штаба)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Главнокомандующий видом, командующий родом войск, войсками регионального командования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главнокомандующего, командующего, начальника Департамента, Главного управления управления Министерства обороны (Генерального штаба)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воинской части, руководитель учреждения военно-учебного заведения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№ 2.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Гарнизонный Дом офицеров, культурно-досуговый центр, клуб и актовый зал воинской части и учреждения Вооруженных Сил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Гарнизонный Дом офицеров, культурно-досуговый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и актовый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 акустическая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сценическая аппаратура со светотехникой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 (не более 9 метров в длину)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 (не более 7 метров в длину)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Снопосвет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Подсвет нижний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№3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отдел воспитательной и идеологической работы вида, рода войск и регионального командования, военное учебное заведение, военный госпиталь (лазарет), рота (отдельная рота), войсковой караул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отдел воспитательной и идеологической работы (вида, рода войск, регионального командования)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(подразделение)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Отдельная рота (подразделение)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военно-учебного заведения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военного госпиталя, (лазарет)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караул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телеантенна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 акустическая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воспитательно-обучающий 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психолога полевой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4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Передвижной информационный комплекс, звуковещательная станция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постоянной боевой готовности, высшее военное учебное заведение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Гарнизонный Дом офицеров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информационный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Звуковещательная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5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военно-патриотический центр Вооруженных Сил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Национальный военно-патриотический центр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светодиодный экран 20 квадратных метров 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светодиодный экран 25 квадратных метров 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Центральный ансамбль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 оркестровые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концертный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скрипки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конденсаторный инструментальный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 для записи и звукоусиления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Қыл-қобыз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дирижерский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дирижерская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Комбо-усилитель для бас-гитары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басгитары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Комбо-усилитель для электрогитары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электрогитары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барабанные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Сурдина для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тромбона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Сурдина для тромбона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саксофона альта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саксофона тенора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саксофона баритона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альта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для виолончели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Бонгов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чаймс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Аккустическая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инструментального микрофона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петличные инструментальные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головные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Концертное платье для солистов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Концертное платье для музыкантов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костюм для солистов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костюм военного образца для солистов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костюм военного образца для солистов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костюм военного образца для музыкантов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костюм военного образца для музыкантов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для солистов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для музыкантов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солистов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музыкантов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музыкантов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казахская национальная (мужская)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казахская национальная (женская)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русский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русский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грузинский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грузинский национальный танцевальный(женский)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азербайджанский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азербайджанский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белорусский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белорусский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киргизский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киргизский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китайский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китайский национальный танцевальный(женский)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латиноамериканский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латиноамериканский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корейский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узбекский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узбекский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украинский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украинский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армянский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армянский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уйгурский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уйгурский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цыганский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цыганский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таджикский национальный танцевальный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таджикский национальный танцевальный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моряка (танцевальный)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моряка (танцевальный)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(танцевальный)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Бальные платья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репетиционная (мужская)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репетиционная (женская)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танцевальная (репетиционная) (мужская)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танцевальная (репетиционная) (женская)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 (репетиционные) (мужские)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танцевальные (репетиционные) (женские)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танцевальные (репетиционные) (мужские)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танцевальные (репетиционные) (женские)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Джазовые ботинки (репетиционные) (мужские)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Джазовые ботинки (репетиционные) (женские)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вокальные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казахский национальный с головным убором для солистов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 стиле ретро (мужской)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 стиле ретро (женский)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Центральный военный оркестр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рожок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большой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маршевые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Колотушка для барабана большого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Комбоусилитель для бас-гитары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Комбоусилитель для ритм-гитары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Комбоусилитель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 концертные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Мультитом маршевый с карьером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дирижерская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барабанные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Перкуссионный сэмплер со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для барабана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синтезатора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дирижерский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концертный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походный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Саксофон-сопрано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Смычок контрабасовый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Тамбуршток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маршевые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 для деревянных духовых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Флюгельгорн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Эуфониум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Отдел военно-исторических ценностей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(Военный музей Вооруженных Сил Республики Казахстан)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светодиодный экран 20 квадратных метров 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светодиодный экран 25 квадратных метров 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горячего тиснения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паровой карандаш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Утюжок реставрационный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шерфования кожи со сменными лезвиями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Муфельная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шпатель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точильный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(производственная)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Ленточно-шлифовальный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стеллажи из сеток на потолочных рельсах для хранения картин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Радиогид (мобильные микрофоны для экскурсий)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музейные стационарные стеллажи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музейные витрины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Выставочные двухсторонние стенды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Шинотрек двухметровый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светодиодный трековый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музейные картотеки (металлические)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конструкция для этикетажей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(рохля)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 алюминиевая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светильник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пылесос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деревянный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универсальный на колесах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Урны металлические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Термоклеевый пистолет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Струбцины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Киянка резиновая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Мебельный степлер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Присоска для стекла (витрины)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Ролл 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Переноска удлинитель (50-метровый)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шарнирный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6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оркестры Вооруженных Сил Республики Казахстан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учебное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штаба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войск, регионального командования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пикколо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тенор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концертные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концертные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походные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 дирижерский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синтезатор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дирижерские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7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Корабль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№8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боевой славы и комната психологической разгрузки (релаксации) воинских частей и военных учебных заведений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Комната боевой славы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Комнат психологической разгрузки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аудио-визуального стимулирования и релаксации (майнд-машина)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психо-диагностический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9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проведения пропаганды и контрпропагандистских мероприятий (передвижной информационный комплекс)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10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Центра медиа-контента Министерства обороны Республики Казахстан, пресс-служб видов Вооруженных Сил Республики Казахстан, высших военных учебных заведений, гарнизонов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медиа-контента Министерства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 вида войск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 гарнизона, высшие военно-учебные заведения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сплиттер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станция для обработки видеоматериалов и дизайна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графическая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для фотоаппарата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Файловый сервер для хранения фото-видеоматериалов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Широкоугольный 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Экшн-камера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Стедикам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носитель для фото-видеоматериалов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телевизионная студия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Аппаратно-студийный комплекс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11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Полиграфическое оборудование для типографии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Министерства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войск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учебные заведения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Бумагорезальная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Трехножевая резальная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Фальцевальная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Картонорезальный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переплетный (обжимной)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тиснения (позолотный), машина для тиснения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Ниткошвейная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Офсетная печатная машина односекционная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Ножеточильный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Офсетная печатная машина четырехсекционная формата А1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Листоподборочное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 (рулонный, пакетный)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Проявочное оборудование для офсетных пластин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Полиграфический принтер формата А3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принтер формата А3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Фотовыводное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монтажный с матовым стеклом и подсветкой (маленькая для просмотра проверки качества пленки)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рама для вывода пленок на пластину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для проявки пластин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пластины проверки качества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стол для контроля офсетных 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просмотровая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Проволокошвейная одноаппаратная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копировально-множительный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изготовления брошюр, книг, журналов в мягкой обложке с бесшовным креплением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Запасной нож для бумагорезальной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размотки бумаги в рулонах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Граверовальный автомат для изготовления клише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12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снабжения техническими средствами частей и подразделений миротворческих, психологических операций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Звуковещательная станция средней мощности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звуковещательная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типографический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переносной типографический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телевещательная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ультракоротковолновая радиовещательная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студийный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съемочный комплект боевого оператора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съемочный комплект боевого оператора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архив материалов воздействия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приемочный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переносной комплекс спутниковой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рассылки мультимедийных сообщений посредствам сотовой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комплекс разработки вэб-сайтов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