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6e60" w14:textId="be66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18 августа 2022 года № 684 "Об утверждении Правил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марта 2025 года № 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августа 2022 года № 684 "Об утверждении Правил взаимодействия структурных подраделений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структурных подраделений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 и 16-2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Довольствующий орган, в течении пяти рабочих дней, со дня утверждения организаций, чьи образцы были утверждены комиссией по утверждению образцов вещевого имущества, направляет организатору протокол утверждения образцов.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Организатор, в течении трех рабочих дней, с даты получения протокола утверждения образцов вещевого имущества, направляет организациям включенным в реестр, чьи образцы были утверждены, уведомление о предстоящей процедуре выбора исполнителей государственного оборонного заказа, с указанием даты, времени и места.";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Заказчик разрабатывает и утверждает годовой план государственных закупок (предварительный годовой план государственных закупок) на основании соответствующего бюджета в порядке и форме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октября 2024 года № 671 "Об утверждении Правил осуществления государственных закупок с применением особого порядка" (зарегистрирован в Реестре государственной регистрации нормативных правовых актов под № 35220) (далее – Правила осуществления государственных закупок с применением особого порядка)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2024 года № 687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35238) (далее – Правила осуществления государственных закупок), при этом, предварительный годовой план государственных закупок, разрабатывается в течении пятнадцати рабочих дней после поступления положительного предложения соответствующей бюджетной комиссии.";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"Предложения довольствующих органов в годовой план государственных закупок (предварительный годовой план государственных закупок) оформляются в форме, установленной для годового плана государственных закупок утвержденных Правилами осуществления государственных закупок с применением особого порядка и Правилами осуществления государственных закупок, подписываются первым руководителем довольствующего органа, либо лицом, исполняющим его обязанности.";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Первый руководитель довольствующего органа, или лицо исполняющий его обязанности, а в случае если заказчик и довольствующий орган выступают в одном лице то первый руководитель заказчика или лицо исполняющий его обязанности отвечает за соответствие выбранного кода единого номенклатурного справочника товаров, работ и услуг краткой характеристике ТРУ на веб-портале и качественную разработку технической спецификации и обоснованное установление квалификационных требовании.";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Разработка технических спецификаций и установление квалификационных требований.";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Довольствующий орган при разработке технического задания и (или) технических спецификаций закупаемых товаров, работ, услуг учитывает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Закон), а также положения Правил осуществления государственных закупок с применением особого порядка и Правил осуществления государственных закупок.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разработанных технических заданиях и (или) технической спецификации закупаемых товаров, работ, услуг содержится указание на национальные стандарты, а в случае их отсутствия на межгосударственные стандарты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 с учетом нормирования государственных закупок.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технической спецификации содержится требование к потенциальным поставщикам о представлении документов, подтверждающих соответствие поставляемых товаров требованиям, установленным техническими регламентами, стандартами или иными документами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функциональные, технические, качественные и эксплуатационные характеристики закупаемых товаров, работ, услуг устанавливаются в соответствии с действительной потребностью.";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Квалификационные требования, предъявляемые к потенциальному поставщику,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осуществления государственных закупок с применением особого порядка и Правилами осуществления государственных закупок.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установления квалификационных требований, предъявляемых к потенциальному поставщику по наличию разрешения (уведомления), указывается точное наименование разрешения (уведомления), вид деятельности, подвид лицензируемого вида деятельности и их коды.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установления квалификационных требований, предъявляемых к потенциальному поставщику по наличию трудовых ресурсов, указывается точная специальность или квалификация работника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квалификации технического и профессионального, после среднего образования, утвержденных приказом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под № 17564), и их количество.";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разработанную и утвержденную первым руководителем довольствующего органа, либо лицом, исполняющим его обязанности техническую спецификацию в соответствии с пунктами 28 и 29 настоящих Правил (на бумажном и (или) электронных носителях).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с применением особого порядка работ, требующих проектно-сметную документацию, вместо технической спецификации конкурсная документация должна содержать проектно-сметную документацию, прошедшую экспертизу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с применением особого порядка работ, требующих проектно-сметную документацию, вместо технической спецификации с конкурсной документацией представляется проектно-сметная документация, прошедшая экспертизу в соответствии с законодательством Республики Казахстан об архитектурной, градостроительной и строительной деятельности.";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квалификационные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государственных закупок организатор в течение двух рабочих дней со дня подписания протокола об итогах государственных закупок товаров, работ, услуг способом конкурса, представляет результаты государственных закупок (протокол итогов) в адрес заказчика.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признанным несостоявшимся государственным закупкам способом конкурса, довольствующий орган направляет заказчику предложения,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для принятия соответствующего решения.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повторных государственных закупок способом конкурса несостоявшимся, заказчик на основании письменного предложения довольствующего органа осуществляет государственные закупки способом из одного источника в соответствии с пунктом 1 статьи 15 Закона.";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Для осуществления государственных закупок способом запроса ценовых предложений, довольствующий орган направляет заказчику заявку на осуществление государственных закупок, подписанную первым руководителем довольствующего органа либо лицом, исполняющим его обязанности, с указанием сведений и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утвержденную техническую спецификацию, разработанную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предложения и дополнения в типовой договор о государственных закупках, при наличии таковых.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осуществлении государственных закупок способом из одного источника путем прямого заключения договора о государственных закупках, довольствующий орган: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техническое задание и (или) техническую спецификацию, в соответствии с пунктами 28 и 29 настоящих Правил (в бумажной или электронной форме);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исключением требований, предусмотренных пунктами 506-518 Правил осуществления государственных закупок, направляет запросы о предоставлении ценовых предложений не менее трем потенциальным поставщикам (в случае, если потенциальных поставщиков менее трех – имеющимся), осуществляющим свою деятельность на рынке закупаемых товаров, работ, услуг;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основе представленных ценовых предложений потенциальных поставщиков или иных документов, послуживших основанием для выбора поставщика, довольствующий орган с соблюдением принципа осуществления государственных закупок,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определяет потенциального поставщика;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заключения договора направляет заказчику обоснование выбора поставщика и способа закупки, техническую спецификацию, утвержденную первым руководителем довольствующего органа либо лицом, исполняющим его обязанности и полученные в соответствии с подпунктом 2) настоящего пункта ценовые предложения.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на основании документов, указанных в подпункте 4) настоящего пункта, за исключением требований, предусмотренных пунктами 506-518 Правил осуществления государственных закупок, заключает договор с поставщиком на приобретение товаров, работ, услуг.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Заказчик выступает в качестве организатора закупок для довольствующих органов при осуществлении государственных закупок способами запроса ценовых предложений, из одного источника путем прямого заключения договора о государственных закупках и из одного источника по несостоявшимся закупкам в соответствии с пунктом 493 Правил осуществления государственных закупок.";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перечень и техническую спецификацию закупаемых товаров, работ, услуг, подписанные первым руководителем заказчика либо лицом, исполняющим его обязанности, в соответствии с пунктами 28 и 29 настоящих Правил.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с применением особого порядка перечень и техническая спецификация закупаемых товаров, работ, услуг подписывается и полистно парафируется первым руководителем заказчика, либо лицом, исполняющим его обязанности.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с применением особого порядка работ, требующих проектно-сметную документацию, вместо технической спецификации с конкурсной документацией представляется проектно-сметная документация, прошедшую экспертизу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наличие проектно-сметной документации, с конкурсной документацией помимо информации и документов, предусмотренных пунктами 117 и 118 Правил осуществления государственных закупок, представляется утвержденная в установленном законодательством Республики Казахстан об архитектурной, градостроительной и строительной деятельности проектно-сметная документация и ее положительное заключение комплексной вневедомственной экспертизы.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работы выполняются по таким государственным закупкам в соответствии со сроками выполнения работ, указанным в заключении комплексной вневедомственной экспертизы проекта.";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квалификационные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Организатор в срок не позднее пяти рабочих дней после поступления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и при установлении замечаний возвращает заказчику для доработки.";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Организатор в течение двух рабочих дней со дня подписания протокола об итогах государственных закупок, направляет в адрес заказчика копию указанного протокола для заключения договора о государственных закупках.".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учреждению "Войсковая часть 20015" Министерства обороны Республики Казахстан в установленном законодательством Республики Казахстан порядке обеспечить: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сведений в Юридический департамент Министерства обороны Республики Казахстан об исполнении подпунктов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течение десяти календарных дней после дня первого официального опубликования настоящего приказа.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