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9282" w14:textId="e769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ноября 2025 года № 515-4096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подпунктом 1-13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"Об утверждении Типовых правил эксплуатации ирригационных и коллекторно-дренажных систем",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эксплуатации ирригационных и коллекторно-дренажных систем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коммунального хозяйства города Астаны"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515-4096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 в городе Астане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и коллекторно-дренажных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Типовыми правилами эксплуатации ирригационных и коллекторно-дренажных систем,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181-НҚ, и определяют порядок эксплуатации ирригационных и коллекторно-дренажных систем (далее – системы) на территории города Астаны.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Cистемы подразделяются на магистральные, межхозяйственные и внутрихозяйственные.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–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–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– совокупность факторов, действующих на системы при их эксплуатации;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–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– уполномоченный орган) –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–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–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–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–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–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собственник).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обнаружения неполадок с уведомлением бассейновой водной инспекции по охране и регулированию использования водных ресурсов.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загрязнения, захламления, деградации и ухудшения плодородия почв;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мероприятия, направленные на защиту земель от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обеспечиваются: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